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B12221"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8F4C10" w:rsidRDefault="008F4C10">
                  <w:pPr>
                    <w:pStyle w:val="Title"/>
                    <w:jc w:val="left"/>
                  </w:pPr>
                  <w:r w:rsidRPr="00F50D3A">
                    <w:t>Electricity</w:t>
                  </w:r>
                  <w:r>
                    <w:t xml:space="preserve"> Report</w:t>
                  </w:r>
                </w:p>
                <w:p w:rsidR="008F4C10" w:rsidRPr="00FF06A1" w:rsidRDefault="008F4C10">
                  <w:pPr>
                    <w:pStyle w:val="Title"/>
                    <w:jc w:val="left"/>
                  </w:pPr>
                  <w:r>
                    <w:t>15 to 21 December 2013</w:t>
                  </w:r>
                </w:p>
                <w:p w:rsidR="008F4C10" w:rsidRDefault="008F4C10">
                  <w:pPr>
                    <w:rPr>
                      <w:i/>
                      <w:sz w:val="32"/>
                    </w:rPr>
                  </w:pPr>
                  <w:r w:rsidRPr="00F50D3A">
                    <w:rPr>
                      <w:sz w:val="32"/>
                    </w:rPr>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pt;height:99.15pt">
            <v:imagedata r:id="rId9" o:title="AER_Head1a" cropbottom="3785f"/>
          </v:shape>
        </w:pict>
      </w:r>
      <w:r w:rsidR="0052471C" w:rsidRPr="002D23B9">
        <w:rPr>
          <w:color w:val="auto"/>
          <w:sz w:val="22"/>
          <w:szCs w:val="22"/>
        </w:rPr>
        <w:t xml:space="preserve"> </w:t>
      </w:r>
    </w:p>
    <w:p w:rsidR="00E74564" w:rsidRPr="00943307" w:rsidRDefault="00E74564" w:rsidP="00E74564">
      <w:pPr>
        <w:pStyle w:val="Heading2"/>
      </w:pPr>
      <w:r w:rsidRPr="00943307">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 xml:space="preserve">and is responsible for monitoring activity and behaviour in the National Electricity Market. The Electricity Report forms an important part of this work. The report contains information on price </w:t>
      </w:r>
      <w:r w:rsidR="00EA693B">
        <w:rPr>
          <w:lang w:eastAsia="en-US"/>
        </w:rPr>
        <w:t>outcomes</w:t>
      </w:r>
      <w:r w:rsidRPr="002D23B9">
        <w:rPr>
          <w:lang w:eastAsia="en-US"/>
        </w:rPr>
        <w:t xml:space="preserve">, movements in the contract market, together with analysis of spot market </w:t>
      </w:r>
      <w:r w:rsidR="00EA693B">
        <w:rPr>
          <w:lang w:eastAsia="en-US"/>
        </w:rPr>
        <w:t>activity</w:t>
      </w:r>
      <w:r w:rsidR="00EA693B" w:rsidRPr="002D23B9">
        <w:rPr>
          <w:lang w:eastAsia="en-US"/>
        </w:rPr>
        <w:t xml:space="preserve"> </w:t>
      </w:r>
      <w:r w:rsidRPr="002D23B9">
        <w:rPr>
          <w:lang w:eastAsia="en-US"/>
        </w:rPr>
        <w:t xml:space="preserve">and rebidding behaviour. By monitoring activity in these markets, the AER is able to keep </w:t>
      </w:r>
      <w:r w:rsidR="00EA693B">
        <w:rPr>
          <w:lang w:eastAsia="en-US"/>
        </w:rPr>
        <w:t>abreast of</w:t>
      </w:r>
      <w:r w:rsidRPr="002D23B9">
        <w:rPr>
          <w:lang w:eastAsia="en-US"/>
        </w:rPr>
        <w:t xml:space="preserve"> market conditions and identify compliance issues.</w:t>
      </w:r>
    </w:p>
    <w:p w:rsidR="00943307" w:rsidRDefault="00943307" w:rsidP="00943307">
      <w:pPr>
        <w:pStyle w:val="Heading2"/>
      </w:pPr>
      <w:r>
        <w:t>Weekly spotlight</w:t>
      </w:r>
    </w:p>
    <w:p w:rsidR="00943307" w:rsidRPr="00E5772C" w:rsidRDefault="00943307" w:rsidP="00943307">
      <w:pPr>
        <w:pStyle w:val="Heading2"/>
        <w:keepNext w:val="0"/>
        <w:widowControl w:val="0"/>
        <w:rPr>
          <w:rFonts w:cs="Times New Roman"/>
          <w:bCs w:val="0"/>
          <w:iCs w:val="0"/>
          <w:color w:val="auto"/>
          <w:sz w:val="20"/>
          <w:szCs w:val="24"/>
        </w:rPr>
      </w:pPr>
      <w:r w:rsidRPr="00E5772C">
        <w:rPr>
          <w:rFonts w:cs="Times New Roman"/>
          <w:bCs w:val="0"/>
          <w:iCs w:val="0"/>
          <w:color w:val="auto"/>
          <w:sz w:val="20"/>
          <w:szCs w:val="24"/>
        </w:rPr>
        <w:t>Summary</w:t>
      </w:r>
    </w:p>
    <w:p w:rsidR="00943307" w:rsidRPr="00943307" w:rsidRDefault="00943307" w:rsidP="00943307">
      <w:r w:rsidRPr="009A6323">
        <w:t xml:space="preserve">The volume weighted average price in </w:t>
      </w:r>
      <w:r>
        <w:t xml:space="preserve">New South Wales and South Australia </w:t>
      </w:r>
      <w:r w:rsidR="00EA693B">
        <w:t>reached</w:t>
      </w:r>
      <w:r w:rsidRPr="009A6323">
        <w:t xml:space="preserve"> $</w:t>
      </w:r>
      <w:r>
        <w:t>102</w:t>
      </w:r>
      <w:r w:rsidRPr="009A6323">
        <w:t xml:space="preserve">/MWh </w:t>
      </w:r>
      <w:r>
        <w:t>and $244/</w:t>
      </w:r>
      <w:r w:rsidR="00E705FB">
        <w:t>MWh,</w:t>
      </w:r>
      <w:r>
        <w:t xml:space="preserve"> </w:t>
      </w:r>
      <w:r w:rsidR="00E705FB">
        <w:t>respectively</w:t>
      </w:r>
      <w:r w:rsidR="00E705FB" w:rsidRPr="009A6323">
        <w:t xml:space="preserve"> </w:t>
      </w:r>
      <w:r w:rsidRPr="009A6323">
        <w:t>this week as a result of</w:t>
      </w:r>
      <w:r>
        <w:t xml:space="preserve"> a number of </w:t>
      </w:r>
      <w:r w:rsidRPr="009A6323">
        <w:t xml:space="preserve">high spot prices </w:t>
      </w:r>
      <w:r w:rsidR="00EA693B">
        <w:t xml:space="preserve">in those regions </w:t>
      </w:r>
      <w:r w:rsidRPr="009A6323">
        <w:t xml:space="preserve">on </w:t>
      </w:r>
      <w:r>
        <w:t>Thursday and Friday</w:t>
      </w:r>
      <w:r w:rsidRPr="009A6323">
        <w:t xml:space="preserve">. There were </w:t>
      </w:r>
      <w:r>
        <w:t>fifteen</w:t>
      </w:r>
      <w:r w:rsidRPr="009A6323">
        <w:t xml:space="preserve"> spot prices above $1000/MWh with a</w:t>
      </w:r>
      <w:r>
        <w:t xml:space="preserve"> </w:t>
      </w:r>
      <w:r w:rsidRPr="009A6323">
        <w:t>maximum spot price of $</w:t>
      </w:r>
      <w:r>
        <w:t>10 627</w:t>
      </w:r>
      <w:r w:rsidRPr="009A6323">
        <w:t>/MWh</w:t>
      </w:r>
      <w:r w:rsidR="00EA693B">
        <w:t xml:space="preserve"> </w:t>
      </w:r>
      <w:r w:rsidR="00D654C6">
        <w:t>occurring</w:t>
      </w:r>
      <w:r w:rsidR="00EA693B">
        <w:t xml:space="preserve"> in South Australia at 4pm on Thursday and </w:t>
      </w:r>
      <w:r w:rsidR="00F90883">
        <w:t>$7696/MWh occurring in New South Wales at 1.30pm on Friday</w:t>
      </w:r>
      <w:r w:rsidRPr="009A6323">
        <w:t>. In accordance with clause 3.13.7 of the Electricity</w:t>
      </w:r>
      <w:r>
        <w:t xml:space="preserve"> </w:t>
      </w:r>
      <w:r w:rsidRPr="009A6323">
        <w:t xml:space="preserve">Rules, the AER will issue </w:t>
      </w:r>
      <w:r>
        <w:t>two</w:t>
      </w:r>
      <w:r w:rsidRPr="009A6323">
        <w:t xml:space="preserve"> separate report</w:t>
      </w:r>
      <w:r>
        <w:t>s</w:t>
      </w:r>
      <w:r w:rsidRPr="009A6323">
        <w:t xml:space="preserve"> into the circumsta</w:t>
      </w:r>
      <w:r>
        <w:t xml:space="preserve">nces that led to the spot price </w:t>
      </w:r>
      <w:r w:rsidRPr="009A6323">
        <w:t>exceeding $5000/MWh</w:t>
      </w:r>
      <w:r>
        <w:t xml:space="preserve"> on each </w:t>
      </w:r>
      <w:r w:rsidR="00D654C6">
        <w:t xml:space="preserve">of these </w:t>
      </w:r>
      <w:r>
        <w:t>day</w:t>
      </w:r>
      <w:r w:rsidR="00D654C6">
        <w:t>s</w:t>
      </w:r>
      <w:r w:rsidRPr="009A6323">
        <w:t>.</w:t>
      </w:r>
      <w:r w:rsidR="00F211C5">
        <w:t xml:space="preserve"> There were also a number of high FCAS prices in Tasmania on Wednesday and Thursday, which are discussed further below.</w:t>
      </w:r>
    </w:p>
    <w:p w:rsidR="00F83806" w:rsidRPr="00943307" w:rsidRDefault="00F50D3A" w:rsidP="00943307">
      <w:pPr>
        <w:pStyle w:val="Heading2"/>
      </w:pPr>
      <w:r w:rsidRPr="00943307">
        <w:t>S</w:t>
      </w:r>
      <w:r w:rsidR="00687B08" w:rsidRPr="00943307">
        <w:t>pot market prices</w:t>
      </w:r>
    </w:p>
    <w:p w:rsidR="00687B08" w:rsidRPr="002D23B9" w:rsidRDefault="00687B08" w:rsidP="00F50D3A">
      <w:pPr>
        <w:pStyle w:val="AERbodytext"/>
      </w:pPr>
      <w:bookmarkStart w:id="7" w:name="OLE_LINK28"/>
      <w:bookmarkStart w:id="8" w:name="OLE_LINK29"/>
      <w:r w:rsidRPr="002D23B9">
        <w:t xml:space="preserve">Figure 1 </w:t>
      </w:r>
      <w:r w:rsidR="00953237" w:rsidRPr="002D23B9">
        <w:t>shows</w:t>
      </w:r>
      <w:r w:rsidRPr="002D23B9">
        <w:t xml:space="preserve"> the volume weighted average (VWA) prices for </w:t>
      </w:r>
      <w:r w:rsidR="00B032DD" w:rsidRPr="002D23B9">
        <w:t xml:space="preserve">the current </w:t>
      </w:r>
      <w:r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Pr="002D23B9">
        <w:t xml:space="preserve">and </w:t>
      </w:r>
      <w:r w:rsidR="00237FD8" w:rsidRPr="002D23B9">
        <w:t xml:space="preserve">the </w:t>
      </w:r>
      <w:r w:rsidRPr="002D23B9">
        <w:t xml:space="preserve">preceding </w:t>
      </w:r>
      <w:r w:rsidR="00237FD8" w:rsidRPr="002D23B9">
        <w:t xml:space="preserve">12 </w:t>
      </w:r>
      <w:r w:rsidRPr="002D23B9">
        <w:t>weeks</w:t>
      </w:r>
      <w:r w:rsidR="00953237" w:rsidRPr="002D23B9">
        <w:t>, as well as</w:t>
      </w:r>
      <w:r w:rsidRPr="002D23B9">
        <w:t xml:space="preserve"> the VWA </w:t>
      </w:r>
      <w:r w:rsidR="00C12B08" w:rsidRPr="002D23B9">
        <w:t xml:space="preserve">price </w:t>
      </w:r>
      <w:r w:rsidRPr="002D23B9">
        <w:t xml:space="preserve">over the </w:t>
      </w:r>
      <w:r w:rsidR="00953237" w:rsidRPr="002D23B9">
        <w:t xml:space="preserve">previous </w:t>
      </w:r>
      <w:r w:rsidRPr="002D23B9">
        <w:t>3</w:t>
      </w:r>
      <w:r w:rsidR="00953237" w:rsidRPr="002D23B9">
        <w:t> financial </w:t>
      </w:r>
      <w:r w:rsidRPr="002D23B9">
        <w:t>years.</w:t>
      </w:r>
      <w:r w:rsidR="00941AA9" w:rsidRPr="002D23B9">
        <w:t xml:space="preserve"> </w:t>
      </w:r>
    </w:p>
    <w:p w:rsidR="00B027E9" w:rsidRPr="002D23B9" w:rsidRDefault="00687B08">
      <w:pPr>
        <w:pStyle w:val="Figureheading"/>
        <w:numPr>
          <w:ilvl w:val="0"/>
          <w:numId w:val="0"/>
        </w:numPr>
        <w:spacing w:after="0"/>
        <w:ind w:left="357" w:hanging="357"/>
      </w:pPr>
      <w:bookmarkStart w:id="9" w:name="_Ref307219594"/>
      <w:r w:rsidRPr="00B173A3">
        <w:t xml:space="preserve">Figure </w:t>
      </w:r>
      <w:bookmarkEnd w:id="9"/>
      <w:r w:rsidRPr="00B173A3">
        <w:t xml:space="preserve">1: </w:t>
      </w:r>
      <w:r w:rsidR="00656C5F" w:rsidRPr="00B173A3">
        <w:t>Volume weighted average spot price by region ($/MWh)</w:t>
      </w:r>
    </w:p>
    <w:p w:rsidR="00785F23" w:rsidRPr="002D23B9" w:rsidRDefault="00A01810" w:rsidP="00785F23">
      <w:pPr>
        <w:pStyle w:val="AERbodytext"/>
      </w:pPr>
      <w:r>
        <w:pict>
          <v:shape id="_x0000_i1026" type="#_x0000_t75" alt="Figure 1 shows the volume weighted average (VWA) prices for this week (with prices shown in Table 1) and the preceding 12 weeks, as well as the VWA price over the previous 3 financial years." style="width:451pt;height:226.2pt">
            <v:imagedata r:id="rId10" o:title=""/>
          </v:shape>
        </w:pict>
      </w:r>
    </w:p>
    <w:p w:rsidR="00965EA9" w:rsidRPr="00B173A3" w:rsidRDefault="00965EA9" w:rsidP="00965EA9">
      <w:pPr>
        <w:pStyle w:val="AERtabletitle"/>
      </w:pPr>
      <w:r w:rsidRPr="00B173A3">
        <w:lastRenderedPageBreak/>
        <w:t xml:space="preserve">Table 1: </w:t>
      </w:r>
      <w:r w:rsidR="008B0A6A" w:rsidRPr="00B173A3">
        <w:t xml:space="preserve">Volume weighted </w:t>
      </w:r>
      <w:r w:rsidRPr="00B173A3">
        <w:t>average spot price</w:t>
      </w:r>
      <w:r w:rsidR="00525D52" w:rsidRPr="00B173A3">
        <w:t>s</w:t>
      </w:r>
      <w:r w:rsidRPr="00B173A3">
        <w:t xml:space="preserve"> by region</w:t>
      </w:r>
      <w:r w:rsidR="008B0A6A" w:rsidRPr="00B173A3">
        <w:t xml:space="preserve"> ($/MWh)</w:t>
      </w:r>
    </w:p>
    <w:tbl>
      <w:tblPr>
        <w:tblW w:w="8045" w:type="dxa"/>
        <w:tblBorders>
          <w:top w:val="single" w:sz="8" w:space="0" w:color="7BA0CD" w:themeColor="accent1" w:themeTint="BF"/>
          <w:bottom w:val="single" w:sz="8" w:space="0" w:color="7BA0CD" w:themeColor="accent1" w:themeTint="BF"/>
        </w:tblBorders>
        <w:tblLayout w:type="fixed"/>
        <w:tblLook w:val="04A0" w:firstRow="1" w:lastRow="0" w:firstColumn="1" w:lastColumn="0" w:noHBand="0" w:noVBand="1"/>
      </w:tblPr>
      <w:tblGrid>
        <w:gridCol w:w="1809"/>
        <w:gridCol w:w="1276"/>
        <w:gridCol w:w="1275"/>
        <w:gridCol w:w="1276"/>
        <w:gridCol w:w="1134"/>
        <w:gridCol w:w="1275"/>
      </w:tblGrid>
      <w:tr w:rsidR="002D23B9" w:rsidRPr="00B173A3" w:rsidTr="003F2B11">
        <w:trPr>
          <w:trHeight w:hRule="exact" w:val="454"/>
        </w:trPr>
        <w:tc>
          <w:tcPr>
            <w:tcW w:w="1809" w:type="dxa"/>
            <w:tcBorders>
              <w:bottom w:val="nil"/>
            </w:tcBorders>
            <w:shd w:val="clear" w:color="auto" w:fill="4A442A"/>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Region</w:t>
            </w:r>
          </w:p>
        </w:tc>
        <w:tc>
          <w:tcPr>
            <w:tcW w:w="1276" w:type="dxa"/>
            <w:tcBorders>
              <w:bottom w:val="nil"/>
            </w:tcBorders>
            <w:shd w:val="clear" w:color="auto" w:fill="4A442A"/>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Qld</w:t>
            </w:r>
          </w:p>
        </w:tc>
        <w:tc>
          <w:tcPr>
            <w:tcW w:w="1275"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NSW</w:t>
            </w:r>
          </w:p>
        </w:tc>
        <w:tc>
          <w:tcPr>
            <w:tcW w:w="1276" w:type="dxa"/>
            <w:tcBorders>
              <w:bottom w:val="nil"/>
            </w:tcBorders>
            <w:shd w:val="clear" w:color="auto" w:fill="4A442A" w:themeFill="background2" w:themeFillShade="40"/>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Vic</w:t>
            </w:r>
          </w:p>
        </w:tc>
        <w:tc>
          <w:tcPr>
            <w:tcW w:w="1134" w:type="dxa"/>
            <w:tcBorders>
              <w:bottom w:val="nil"/>
            </w:tcBorders>
            <w:shd w:val="clear" w:color="auto" w:fill="4A442A" w:themeFill="background2" w:themeFillShade="40"/>
            <w:noWrap/>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SA</w:t>
            </w:r>
          </w:p>
        </w:tc>
        <w:tc>
          <w:tcPr>
            <w:tcW w:w="1275" w:type="dxa"/>
            <w:tcBorders>
              <w:bottom w:val="nil"/>
            </w:tcBorders>
            <w:shd w:val="clear" w:color="auto" w:fill="4A442A" w:themeFill="background2" w:themeFillShade="40"/>
            <w:vAlign w:val="center"/>
          </w:tcPr>
          <w:p w:rsidR="00D70101" w:rsidRPr="00A455D6" w:rsidRDefault="00D70101">
            <w:pPr>
              <w:jc w:val="center"/>
              <w:rPr>
                <w:rFonts w:cs="Gautami"/>
                <w:b/>
                <w:bCs/>
                <w:color w:val="FFFFFF" w:themeColor="background1"/>
                <w:sz w:val="16"/>
                <w:szCs w:val="16"/>
              </w:rPr>
            </w:pPr>
            <w:r w:rsidRPr="00A455D6">
              <w:rPr>
                <w:rFonts w:cs="Gautami"/>
                <w:b/>
                <w:bCs/>
                <w:color w:val="FFFFFF" w:themeColor="background1"/>
                <w:sz w:val="16"/>
                <w:szCs w:val="16"/>
              </w:rPr>
              <w:t>Tas</w:t>
            </w:r>
          </w:p>
        </w:tc>
      </w:tr>
      <w:tr w:rsidR="00523DCC" w:rsidRPr="00B173A3" w:rsidTr="003F2B11">
        <w:trPr>
          <w:trHeight w:hRule="exact" w:val="454"/>
        </w:trPr>
        <w:tc>
          <w:tcPr>
            <w:tcW w:w="1809" w:type="dxa"/>
            <w:tcBorders>
              <w:top w:val="nil"/>
              <w:bottom w:val="nil"/>
            </w:tcBorders>
            <w:shd w:val="clear" w:color="auto" w:fill="DDD9C3" w:themeFill="background2" w:themeFillShade="E6"/>
            <w:noWrap/>
            <w:vAlign w:val="center"/>
          </w:tcPr>
          <w:p w:rsidR="00523DCC" w:rsidRPr="00B173A3" w:rsidRDefault="00523DCC">
            <w:pPr>
              <w:rPr>
                <w:rFonts w:cs="Gautami"/>
                <w:b/>
                <w:bCs/>
                <w:sz w:val="16"/>
                <w:szCs w:val="16"/>
              </w:rPr>
            </w:pPr>
            <w:r w:rsidRPr="00B173A3">
              <w:rPr>
                <w:rFonts w:cs="Gautami"/>
                <w:b/>
                <w:bCs/>
                <w:sz w:val="16"/>
                <w:szCs w:val="16"/>
              </w:rPr>
              <w:t>Current week</w:t>
            </w:r>
          </w:p>
        </w:tc>
        <w:tc>
          <w:tcPr>
            <w:tcW w:w="1276" w:type="dxa"/>
            <w:tcBorders>
              <w:top w:val="nil"/>
              <w:bottom w:val="nil"/>
            </w:tcBorders>
            <w:shd w:val="clear" w:color="auto" w:fill="DDD9C3"/>
            <w:noWrap/>
            <w:vAlign w:val="center"/>
          </w:tcPr>
          <w:p w:rsidR="00523DCC" w:rsidRDefault="00523DCC">
            <w:pPr>
              <w:jc w:val="center"/>
              <w:rPr>
                <w:rFonts w:cs="Gautami"/>
                <w:sz w:val="16"/>
                <w:szCs w:val="16"/>
              </w:rPr>
            </w:pPr>
            <w:r>
              <w:rPr>
                <w:rFonts w:cs="Gautami"/>
                <w:sz w:val="16"/>
                <w:szCs w:val="16"/>
              </w:rPr>
              <w:t>57</w:t>
            </w:r>
          </w:p>
        </w:tc>
        <w:tc>
          <w:tcPr>
            <w:tcW w:w="1275" w:type="dxa"/>
            <w:tcBorders>
              <w:top w:val="nil"/>
              <w:bottom w:val="nil"/>
            </w:tcBorders>
            <w:shd w:val="clear" w:color="auto" w:fill="DDD9C3" w:themeFill="background2" w:themeFillShade="E6"/>
            <w:noWrap/>
            <w:vAlign w:val="center"/>
          </w:tcPr>
          <w:p w:rsidR="00523DCC" w:rsidRDefault="00523DCC">
            <w:pPr>
              <w:jc w:val="center"/>
              <w:rPr>
                <w:rFonts w:cs="Gautami"/>
                <w:sz w:val="16"/>
                <w:szCs w:val="16"/>
              </w:rPr>
            </w:pPr>
            <w:r>
              <w:rPr>
                <w:rFonts w:cs="Gautami"/>
                <w:sz w:val="16"/>
                <w:szCs w:val="16"/>
              </w:rPr>
              <w:t>102</w:t>
            </w:r>
          </w:p>
        </w:tc>
        <w:tc>
          <w:tcPr>
            <w:tcW w:w="1276" w:type="dxa"/>
            <w:tcBorders>
              <w:top w:val="nil"/>
              <w:bottom w:val="nil"/>
            </w:tcBorders>
            <w:shd w:val="clear" w:color="auto" w:fill="DDD9C3" w:themeFill="background2" w:themeFillShade="E6"/>
            <w:vAlign w:val="center"/>
          </w:tcPr>
          <w:p w:rsidR="00523DCC" w:rsidRDefault="00523DCC">
            <w:pPr>
              <w:jc w:val="center"/>
              <w:rPr>
                <w:rFonts w:cs="Gautami"/>
                <w:sz w:val="16"/>
                <w:szCs w:val="16"/>
              </w:rPr>
            </w:pPr>
            <w:r>
              <w:rPr>
                <w:rFonts w:cs="Gautami"/>
                <w:sz w:val="16"/>
                <w:szCs w:val="16"/>
              </w:rPr>
              <w:t>75</w:t>
            </w:r>
          </w:p>
        </w:tc>
        <w:tc>
          <w:tcPr>
            <w:tcW w:w="1134" w:type="dxa"/>
            <w:tcBorders>
              <w:top w:val="nil"/>
              <w:bottom w:val="nil"/>
            </w:tcBorders>
            <w:shd w:val="clear" w:color="auto" w:fill="DDD9C3" w:themeFill="background2" w:themeFillShade="E6"/>
            <w:noWrap/>
            <w:vAlign w:val="center"/>
          </w:tcPr>
          <w:p w:rsidR="00523DCC" w:rsidRDefault="00523DCC">
            <w:pPr>
              <w:jc w:val="center"/>
              <w:rPr>
                <w:rFonts w:cs="Gautami"/>
                <w:sz w:val="16"/>
                <w:szCs w:val="16"/>
              </w:rPr>
            </w:pPr>
            <w:r>
              <w:rPr>
                <w:rFonts w:cs="Gautami"/>
                <w:sz w:val="16"/>
                <w:szCs w:val="16"/>
              </w:rPr>
              <w:t>244</w:t>
            </w:r>
          </w:p>
        </w:tc>
        <w:tc>
          <w:tcPr>
            <w:tcW w:w="1275" w:type="dxa"/>
            <w:tcBorders>
              <w:top w:val="nil"/>
              <w:bottom w:val="nil"/>
            </w:tcBorders>
            <w:shd w:val="clear" w:color="auto" w:fill="DDD9C3" w:themeFill="background2" w:themeFillShade="E6"/>
            <w:vAlign w:val="center"/>
          </w:tcPr>
          <w:p w:rsidR="00523DCC" w:rsidRDefault="00523DCC">
            <w:pPr>
              <w:jc w:val="center"/>
              <w:rPr>
                <w:rFonts w:cs="Gautami"/>
                <w:sz w:val="16"/>
                <w:szCs w:val="16"/>
              </w:rPr>
            </w:pPr>
            <w:r>
              <w:rPr>
                <w:rFonts w:cs="Gautami"/>
                <w:sz w:val="16"/>
                <w:szCs w:val="16"/>
              </w:rPr>
              <w:t>35</w:t>
            </w:r>
          </w:p>
        </w:tc>
      </w:tr>
      <w:tr w:rsidR="00523DCC" w:rsidRPr="00B173A3" w:rsidTr="003F2B11">
        <w:trPr>
          <w:trHeight w:hRule="exact" w:val="454"/>
        </w:trPr>
        <w:tc>
          <w:tcPr>
            <w:tcW w:w="1809" w:type="dxa"/>
            <w:tcBorders>
              <w:top w:val="nil"/>
              <w:bottom w:val="nil"/>
            </w:tcBorders>
            <w:shd w:val="clear" w:color="auto" w:fill="EEECE1" w:themeFill="background2"/>
            <w:noWrap/>
            <w:vAlign w:val="center"/>
          </w:tcPr>
          <w:p w:rsidR="00523DCC" w:rsidRPr="00B173A3" w:rsidRDefault="00523DCC">
            <w:pPr>
              <w:rPr>
                <w:rFonts w:cs="Gautami"/>
                <w:b/>
                <w:bCs/>
                <w:sz w:val="16"/>
                <w:szCs w:val="16"/>
              </w:rPr>
            </w:pPr>
            <w:r w:rsidRPr="00B173A3">
              <w:rPr>
                <w:rFonts w:cs="Gautami"/>
                <w:b/>
                <w:bCs/>
                <w:sz w:val="16"/>
                <w:szCs w:val="16"/>
              </w:rPr>
              <w:t>12-13 financial YTD</w:t>
            </w:r>
          </w:p>
        </w:tc>
        <w:tc>
          <w:tcPr>
            <w:tcW w:w="1276" w:type="dxa"/>
            <w:tcBorders>
              <w:top w:val="nil"/>
              <w:bottom w:val="nil"/>
            </w:tcBorders>
            <w:shd w:val="clear" w:color="auto" w:fill="EEECE1"/>
            <w:noWrap/>
            <w:vAlign w:val="center"/>
          </w:tcPr>
          <w:p w:rsidR="00523DCC" w:rsidRDefault="00523DCC">
            <w:pPr>
              <w:jc w:val="center"/>
              <w:rPr>
                <w:rFonts w:cs="Gautami"/>
                <w:sz w:val="16"/>
                <w:szCs w:val="16"/>
              </w:rPr>
            </w:pPr>
            <w:r>
              <w:rPr>
                <w:rFonts w:cs="Gautami"/>
                <w:sz w:val="16"/>
                <w:szCs w:val="16"/>
              </w:rPr>
              <w:t>58</w:t>
            </w:r>
          </w:p>
        </w:tc>
        <w:tc>
          <w:tcPr>
            <w:tcW w:w="1275" w:type="dxa"/>
            <w:tcBorders>
              <w:top w:val="nil"/>
              <w:bottom w:val="nil"/>
            </w:tcBorders>
            <w:shd w:val="clear" w:color="auto" w:fill="EEECE1" w:themeFill="background2"/>
            <w:noWrap/>
            <w:vAlign w:val="center"/>
          </w:tcPr>
          <w:p w:rsidR="00523DCC" w:rsidRDefault="00523DCC">
            <w:pPr>
              <w:jc w:val="center"/>
              <w:rPr>
                <w:rFonts w:cs="Gautami"/>
                <w:sz w:val="16"/>
                <w:szCs w:val="16"/>
              </w:rPr>
            </w:pPr>
            <w:r>
              <w:rPr>
                <w:rFonts w:cs="Gautami"/>
                <w:sz w:val="16"/>
                <w:szCs w:val="16"/>
              </w:rPr>
              <w:t>58</w:t>
            </w:r>
          </w:p>
        </w:tc>
        <w:tc>
          <w:tcPr>
            <w:tcW w:w="1276" w:type="dxa"/>
            <w:tcBorders>
              <w:top w:val="nil"/>
              <w:bottom w:val="nil"/>
            </w:tcBorders>
            <w:shd w:val="clear" w:color="auto" w:fill="EEECE1" w:themeFill="background2"/>
            <w:vAlign w:val="center"/>
          </w:tcPr>
          <w:p w:rsidR="00523DCC" w:rsidRDefault="00523DCC">
            <w:pPr>
              <w:jc w:val="center"/>
              <w:rPr>
                <w:rFonts w:cs="Gautami"/>
                <w:sz w:val="16"/>
                <w:szCs w:val="16"/>
              </w:rPr>
            </w:pPr>
            <w:r>
              <w:rPr>
                <w:rFonts w:cs="Gautami"/>
                <w:sz w:val="16"/>
                <w:szCs w:val="16"/>
              </w:rPr>
              <w:t>65</w:t>
            </w:r>
          </w:p>
        </w:tc>
        <w:tc>
          <w:tcPr>
            <w:tcW w:w="1134" w:type="dxa"/>
            <w:tcBorders>
              <w:top w:val="nil"/>
              <w:bottom w:val="nil"/>
            </w:tcBorders>
            <w:shd w:val="clear" w:color="auto" w:fill="EEECE1" w:themeFill="background2"/>
            <w:noWrap/>
            <w:vAlign w:val="center"/>
          </w:tcPr>
          <w:p w:rsidR="00523DCC" w:rsidRDefault="00523DCC">
            <w:pPr>
              <w:jc w:val="center"/>
              <w:rPr>
                <w:rFonts w:cs="Gautami"/>
                <w:sz w:val="16"/>
                <w:szCs w:val="16"/>
              </w:rPr>
            </w:pPr>
            <w:r>
              <w:rPr>
                <w:rFonts w:cs="Gautami"/>
                <w:sz w:val="16"/>
                <w:szCs w:val="16"/>
              </w:rPr>
              <w:t>65</w:t>
            </w:r>
          </w:p>
        </w:tc>
        <w:tc>
          <w:tcPr>
            <w:tcW w:w="1275" w:type="dxa"/>
            <w:tcBorders>
              <w:top w:val="nil"/>
              <w:bottom w:val="nil"/>
            </w:tcBorders>
            <w:shd w:val="clear" w:color="auto" w:fill="EEECE1" w:themeFill="background2"/>
            <w:vAlign w:val="center"/>
          </w:tcPr>
          <w:p w:rsidR="00523DCC" w:rsidRDefault="00523DCC">
            <w:pPr>
              <w:jc w:val="center"/>
              <w:rPr>
                <w:rFonts w:cs="Gautami"/>
                <w:sz w:val="16"/>
                <w:szCs w:val="16"/>
              </w:rPr>
            </w:pPr>
            <w:r>
              <w:rPr>
                <w:rFonts w:cs="Gautami"/>
                <w:sz w:val="16"/>
                <w:szCs w:val="16"/>
              </w:rPr>
              <w:t>49</w:t>
            </w:r>
          </w:p>
        </w:tc>
      </w:tr>
      <w:tr w:rsidR="00523DCC" w:rsidRPr="002D23B9" w:rsidTr="00CA5F6C">
        <w:trPr>
          <w:trHeight w:hRule="exact" w:val="454"/>
        </w:trPr>
        <w:tc>
          <w:tcPr>
            <w:tcW w:w="1809" w:type="dxa"/>
            <w:tcBorders>
              <w:top w:val="nil"/>
              <w:bottom w:val="single" w:sz="4" w:space="0" w:color="auto"/>
            </w:tcBorders>
            <w:shd w:val="clear" w:color="auto" w:fill="DDD9C3" w:themeFill="background2" w:themeFillShade="E6"/>
            <w:noWrap/>
            <w:vAlign w:val="center"/>
          </w:tcPr>
          <w:p w:rsidR="00523DCC" w:rsidRPr="00B173A3" w:rsidRDefault="00523DCC">
            <w:pPr>
              <w:rPr>
                <w:rFonts w:cs="Gautami"/>
                <w:b/>
                <w:bCs/>
                <w:sz w:val="16"/>
                <w:szCs w:val="16"/>
              </w:rPr>
            </w:pPr>
            <w:r w:rsidRPr="00B173A3">
              <w:rPr>
                <w:rFonts w:cs="Gautami"/>
                <w:b/>
                <w:bCs/>
                <w:sz w:val="16"/>
                <w:szCs w:val="16"/>
              </w:rPr>
              <w:t>13-14 financial YTD</w:t>
            </w:r>
          </w:p>
        </w:tc>
        <w:tc>
          <w:tcPr>
            <w:tcW w:w="1276" w:type="dxa"/>
            <w:tcBorders>
              <w:top w:val="nil"/>
              <w:bottom w:val="single" w:sz="4" w:space="0" w:color="auto"/>
            </w:tcBorders>
            <w:shd w:val="clear" w:color="auto" w:fill="DDD9C3" w:themeFill="background2" w:themeFillShade="E6"/>
            <w:noWrap/>
            <w:vAlign w:val="center"/>
          </w:tcPr>
          <w:p w:rsidR="00523DCC" w:rsidRDefault="00523DCC">
            <w:pPr>
              <w:jc w:val="center"/>
              <w:rPr>
                <w:rFonts w:cs="Gautami"/>
                <w:sz w:val="16"/>
                <w:szCs w:val="16"/>
              </w:rPr>
            </w:pPr>
            <w:r>
              <w:rPr>
                <w:rFonts w:cs="Gautami"/>
                <w:sz w:val="16"/>
                <w:szCs w:val="16"/>
              </w:rPr>
              <w:t>59</w:t>
            </w:r>
          </w:p>
        </w:tc>
        <w:tc>
          <w:tcPr>
            <w:tcW w:w="1275" w:type="dxa"/>
            <w:tcBorders>
              <w:top w:val="nil"/>
              <w:bottom w:val="single" w:sz="4" w:space="0" w:color="auto"/>
            </w:tcBorders>
            <w:shd w:val="clear" w:color="auto" w:fill="DDD9C3" w:themeFill="background2" w:themeFillShade="E6"/>
            <w:noWrap/>
            <w:vAlign w:val="center"/>
          </w:tcPr>
          <w:p w:rsidR="00523DCC" w:rsidRDefault="00523DCC">
            <w:pPr>
              <w:jc w:val="center"/>
              <w:rPr>
                <w:rFonts w:cs="Gautami"/>
                <w:sz w:val="16"/>
                <w:szCs w:val="16"/>
              </w:rPr>
            </w:pPr>
            <w:r>
              <w:rPr>
                <w:rFonts w:cs="Gautami"/>
                <w:sz w:val="16"/>
                <w:szCs w:val="16"/>
              </w:rPr>
              <w:t>56</w:t>
            </w:r>
          </w:p>
        </w:tc>
        <w:tc>
          <w:tcPr>
            <w:tcW w:w="1276" w:type="dxa"/>
            <w:tcBorders>
              <w:top w:val="nil"/>
              <w:bottom w:val="single" w:sz="4" w:space="0" w:color="auto"/>
            </w:tcBorders>
            <w:shd w:val="clear" w:color="auto" w:fill="DDD9C3" w:themeFill="background2" w:themeFillShade="E6"/>
            <w:vAlign w:val="center"/>
          </w:tcPr>
          <w:p w:rsidR="00523DCC" w:rsidRDefault="00523DCC">
            <w:pPr>
              <w:jc w:val="center"/>
              <w:rPr>
                <w:rFonts w:cs="Gautami"/>
                <w:sz w:val="16"/>
                <w:szCs w:val="16"/>
              </w:rPr>
            </w:pPr>
            <w:r>
              <w:rPr>
                <w:rFonts w:cs="Gautami"/>
                <w:sz w:val="16"/>
                <w:szCs w:val="16"/>
              </w:rPr>
              <w:t>53</w:t>
            </w:r>
          </w:p>
        </w:tc>
        <w:tc>
          <w:tcPr>
            <w:tcW w:w="1134" w:type="dxa"/>
            <w:tcBorders>
              <w:top w:val="nil"/>
              <w:bottom w:val="single" w:sz="4" w:space="0" w:color="auto"/>
            </w:tcBorders>
            <w:shd w:val="clear" w:color="auto" w:fill="DDD9C3" w:themeFill="background2" w:themeFillShade="E6"/>
            <w:noWrap/>
            <w:vAlign w:val="center"/>
          </w:tcPr>
          <w:p w:rsidR="00523DCC" w:rsidRDefault="00523DCC">
            <w:pPr>
              <w:jc w:val="center"/>
              <w:rPr>
                <w:rFonts w:cs="Gautami"/>
                <w:sz w:val="16"/>
                <w:szCs w:val="16"/>
              </w:rPr>
            </w:pPr>
            <w:r>
              <w:rPr>
                <w:rFonts w:cs="Gautami"/>
                <w:sz w:val="16"/>
                <w:szCs w:val="16"/>
              </w:rPr>
              <w:t>72</w:t>
            </w:r>
          </w:p>
        </w:tc>
        <w:tc>
          <w:tcPr>
            <w:tcW w:w="1275" w:type="dxa"/>
            <w:tcBorders>
              <w:top w:val="nil"/>
              <w:bottom w:val="single" w:sz="4" w:space="0" w:color="auto"/>
            </w:tcBorders>
            <w:shd w:val="clear" w:color="auto" w:fill="DDD9C3" w:themeFill="background2" w:themeFillShade="E6"/>
            <w:vAlign w:val="center"/>
          </w:tcPr>
          <w:p w:rsidR="00523DCC" w:rsidRDefault="00523DCC">
            <w:pPr>
              <w:jc w:val="center"/>
              <w:rPr>
                <w:rFonts w:cs="Gautami"/>
                <w:sz w:val="16"/>
                <w:szCs w:val="16"/>
              </w:rPr>
            </w:pPr>
            <w:r>
              <w:rPr>
                <w:rFonts w:cs="Gautami"/>
                <w:sz w:val="16"/>
                <w:szCs w:val="16"/>
              </w:rPr>
              <w:t>45</w:t>
            </w:r>
          </w:p>
        </w:tc>
      </w:tr>
    </w:tbl>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1" w:history="1">
        <w:r w:rsidR="000F1E82" w:rsidRPr="002D23B9">
          <w:rPr>
            <w:rStyle w:val="Hyperlink"/>
            <w:color w:val="auto"/>
          </w:rPr>
          <w:t>AER website</w:t>
        </w:r>
      </w:hyperlink>
      <w:r w:rsidRPr="002D23B9">
        <w:t xml:space="preserve">. </w:t>
      </w:r>
    </w:p>
    <w:bookmarkEnd w:id="7"/>
    <w:bookmarkEnd w:id="8"/>
    <w:p w:rsidR="006A519A" w:rsidRDefault="006A519A" w:rsidP="006A519A">
      <w:pPr>
        <w:pStyle w:val="Heading2"/>
      </w:pPr>
      <w:r>
        <w:t>Spot market price forecast variations</w:t>
      </w:r>
    </w:p>
    <w:p w:rsidR="006A519A" w:rsidRDefault="006A519A" w:rsidP="006A519A">
      <w:pPr>
        <w:pStyle w:val="AERbodytext"/>
      </w:pPr>
      <w:r w:rsidRPr="00181657">
        <w:t xml:space="preserve">The AER is required under the National Electricity Rules to </w:t>
      </w:r>
      <w:r w:rsidR="009D35C7">
        <w:t xml:space="preserve">identify and review each occasion </w:t>
      </w:r>
      <w:r w:rsidRPr="00181657">
        <w:t>whe</w:t>
      </w:r>
      <w:r w:rsidR="009D35C7">
        <w:t>re</w:t>
      </w:r>
      <w:r w:rsidRPr="00181657">
        <w:t xml:space="preserve">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w:t>
      </w:r>
      <w:r w:rsidRPr="000B78AD">
        <w:t>variations as demand forecasts vary and participants react to changing market conditions.</w:t>
      </w:r>
      <w:r w:rsidRPr="00181657">
        <w:t xml:space="preserve"> </w:t>
      </w:r>
      <w:r w:rsidRPr="00B71EC1">
        <w:t xml:space="preserve">A </w:t>
      </w:r>
      <w:r>
        <w:t xml:space="preserve">key focus is whether </w:t>
      </w:r>
      <w:r w:rsidRPr="00B71EC1">
        <w:t>the actual price differs significantly from the forecast price either four or 12 hours ahead.</w:t>
      </w:r>
      <w:r>
        <w:t xml:space="preserve"> These timeframes have been chosen as indicative of the time frames within which different technology types may be able to commit (intermediate plant within four hours and slow start plant within 12 hours). </w:t>
      </w:r>
    </w:p>
    <w:p w:rsidR="006A519A" w:rsidRPr="00D70101" w:rsidRDefault="00AB7BEA" w:rsidP="006A519A">
      <w:pPr>
        <w:pStyle w:val="AERbodytext"/>
      </w:pPr>
      <w:r>
        <w:t xml:space="preserve">There were </w:t>
      </w:r>
      <w:r w:rsidR="00991D23">
        <w:t>89</w:t>
      </w:r>
      <w:r w:rsidR="006A519A">
        <w:t xml:space="preserve"> trading intervals throughout the week where actual prices varied significantly from forecasts. This compares to the weekly average </w:t>
      </w:r>
      <w:r w:rsidR="009D35C7">
        <w:t xml:space="preserve">of 60 counts </w:t>
      </w:r>
      <w:r w:rsidR="006A519A">
        <w:t xml:space="preserve">in 2012 and </w:t>
      </w:r>
      <w:r w:rsidR="009D35C7">
        <w:t>78</w:t>
      </w:r>
      <w:r w:rsidR="006A519A">
        <w:t xml:space="preserve">in 2011 </w:t>
      </w:r>
      <w:r w:rsidR="006A519A" w:rsidRPr="00D70101">
        <w:t xml:space="preserve">. Reasons for the variations for this week are summarised in Table 2. </w:t>
      </w:r>
      <w:r w:rsidR="009D35C7">
        <w:t>T</w:t>
      </w:r>
      <w:r w:rsidR="006A519A" w:rsidRPr="00D70101">
        <w:t>he table</w:t>
      </w:r>
      <w:r w:rsidR="006A519A" w:rsidRPr="00B71EC1">
        <w:t xml:space="preserv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w:t>
      </w:r>
      <w:r w:rsidR="006A519A" w:rsidRPr="00D70101">
        <w:t>forecasts differ significantly from the actual price will be counted as two variations.</w:t>
      </w:r>
    </w:p>
    <w:p w:rsidR="006A519A" w:rsidRPr="00155A20" w:rsidRDefault="006A519A" w:rsidP="006A519A">
      <w:pPr>
        <w:pStyle w:val="AERtabletitle"/>
      </w:pPr>
      <w:r w:rsidRPr="00155A20">
        <w:t>Table 2: Reasons for variations between forecast and actual prices</w:t>
      </w:r>
    </w:p>
    <w:tbl>
      <w:tblPr>
        <w:tblW w:w="8647" w:type="dxa"/>
        <w:tblInd w:w="108" w:type="dxa"/>
        <w:tblBorders>
          <w:top w:val="single" w:sz="8" w:space="0" w:color="7BA0CD"/>
          <w:bottom w:val="single" w:sz="8" w:space="0" w:color="7BA0CD"/>
        </w:tblBorders>
        <w:tblLayout w:type="fixed"/>
        <w:tblLook w:val="04A0" w:firstRow="1" w:lastRow="0" w:firstColumn="1" w:lastColumn="0" w:noHBand="0" w:noVBand="1"/>
      </w:tblPr>
      <w:tblGrid>
        <w:gridCol w:w="2127"/>
        <w:gridCol w:w="1842"/>
        <w:gridCol w:w="1418"/>
        <w:gridCol w:w="1843"/>
        <w:gridCol w:w="1417"/>
      </w:tblGrid>
      <w:tr w:rsidR="006A519A" w:rsidRPr="00155A20" w:rsidTr="006A519A">
        <w:trPr>
          <w:trHeight w:hRule="exact" w:val="454"/>
        </w:trPr>
        <w:tc>
          <w:tcPr>
            <w:tcW w:w="2127"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Reason for variation</w:t>
            </w:r>
          </w:p>
        </w:tc>
        <w:tc>
          <w:tcPr>
            <w:tcW w:w="1842"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Availability</w:t>
            </w:r>
          </w:p>
        </w:tc>
        <w:tc>
          <w:tcPr>
            <w:tcW w:w="1418"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Demand</w:t>
            </w:r>
          </w:p>
        </w:tc>
        <w:tc>
          <w:tcPr>
            <w:tcW w:w="1843" w:type="dxa"/>
            <w:shd w:val="clear" w:color="auto" w:fill="4A442A"/>
            <w:noWrap/>
          </w:tcPr>
          <w:p w:rsidR="006A519A" w:rsidRPr="006A519A" w:rsidRDefault="006A519A" w:rsidP="006A519A">
            <w:pPr>
              <w:pStyle w:val="AERtabletextheading"/>
              <w:jc w:val="center"/>
              <w:rPr>
                <w:bCs/>
                <w:color w:val="FFFFFF"/>
                <w:sz w:val="18"/>
              </w:rPr>
            </w:pPr>
            <w:r w:rsidRPr="006A519A">
              <w:rPr>
                <w:bCs/>
                <w:color w:val="FFFFFF"/>
                <w:sz w:val="18"/>
              </w:rPr>
              <w:t>Network</w:t>
            </w:r>
          </w:p>
        </w:tc>
        <w:tc>
          <w:tcPr>
            <w:tcW w:w="1417" w:type="dxa"/>
            <w:shd w:val="clear" w:color="auto" w:fill="4A442A"/>
          </w:tcPr>
          <w:p w:rsidR="006A519A" w:rsidRPr="006A519A" w:rsidRDefault="006A519A" w:rsidP="006A519A">
            <w:pPr>
              <w:pStyle w:val="AERtabletextheading"/>
              <w:jc w:val="center"/>
              <w:rPr>
                <w:bCs/>
                <w:color w:val="FFFFFF"/>
                <w:sz w:val="18"/>
              </w:rPr>
            </w:pPr>
            <w:r w:rsidRPr="006A519A">
              <w:rPr>
                <w:bCs/>
                <w:color w:val="FFFFFF"/>
                <w:sz w:val="18"/>
              </w:rPr>
              <w:t>Combination</w:t>
            </w:r>
          </w:p>
        </w:tc>
      </w:tr>
      <w:tr w:rsidR="00BC20CE" w:rsidRPr="00155A20" w:rsidTr="006A519A">
        <w:trPr>
          <w:trHeight w:hRule="exact" w:val="454"/>
        </w:trPr>
        <w:tc>
          <w:tcPr>
            <w:tcW w:w="2127" w:type="dxa"/>
            <w:tcBorders>
              <w:bottom w:val="nil"/>
            </w:tcBorders>
            <w:shd w:val="clear" w:color="auto" w:fill="DDD9C3"/>
            <w:noWrap/>
            <w:vAlign w:val="center"/>
          </w:tcPr>
          <w:p w:rsidR="00BC20CE" w:rsidRPr="00155A20" w:rsidRDefault="00BC20CE" w:rsidP="006A519A">
            <w:pPr>
              <w:pStyle w:val="AERtabletext"/>
              <w:spacing w:before="60" w:after="60"/>
              <w:rPr>
                <w:b/>
                <w:bCs/>
              </w:rPr>
            </w:pPr>
            <w:r w:rsidRPr="00155A20">
              <w:rPr>
                <w:b/>
                <w:bCs/>
              </w:rPr>
              <w:t>% of total above forecast</w:t>
            </w:r>
          </w:p>
        </w:tc>
        <w:tc>
          <w:tcPr>
            <w:tcW w:w="1842" w:type="dxa"/>
            <w:tcBorders>
              <w:bottom w:val="nil"/>
            </w:tcBorders>
            <w:shd w:val="clear" w:color="auto" w:fill="DDD9C3"/>
            <w:noWrap/>
            <w:vAlign w:val="center"/>
          </w:tcPr>
          <w:p w:rsidR="00BC20CE" w:rsidRPr="00523DCC" w:rsidRDefault="00BC20CE">
            <w:pPr>
              <w:jc w:val="center"/>
              <w:rPr>
                <w:rFonts w:cs="Gautami"/>
                <w:color w:val="FF0000"/>
                <w:sz w:val="16"/>
                <w:szCs w:val="16"/>
              </w:rPr>
            </w:pPr>
            <w:r>
              <w:rPr>
                <w:rFonts w:cs="Gautami"/>
                <w:sz w:val="16"/>
                <w:szCs w:val="16"/>
              </w:rPr>
              <w:t>10</w:t>
            </w:r>
          </w:p>
        </w:tc>
        <w:tc>
          <w:tcPr>
            <w:tcW w:w="1418" w:type="dxa"/>
            <w:tcBorders>
              <w:bottom w:val="nil"/>
            </w:tcBorders>
            <w:shd w:val="clear" w:color="auto" w:fill="DDD9C3"/>
            <w:noWrap/>
            <w:vAlign w:val="center"/>
          </w:tcPr>
          <w:p w:rsidR="00BC20CE" w:rsidRPr="00523DCC" w:rsidRDefault="00BC20CE">
            <w:pPr>
              <w:jc w:val="center"/>
              <w:rPr>
                <w:rFonts w:cs="Gautami"/>
                <w:color w:val="FF0000"/>
                <w:sz w:val="16"/>
                <w:szCs w:val="16"/>
              </w:rPr>
            </w:pPr>
            <w:r>
              <w:rPr>
                <w:rFonts w:cs="Gautami"/>
                <w:sz w:val="16"/>
                <w:szCs w:val="16"/>
              </w:rPr>
              <w:t>35</w:t>
            </w:r>
          </w:p>
        </w:tc>
        <w:tc>
          <w:tcPr>
            <w:tcW w:w="1843" w:type="dxa"/>
            <w:tcBorders>
              <w:bottom w:val="nil"/>
            </w:tcBorders>
            <w:shd w:val="clear" w:color="auto" w:fill="DDD9C3"/>
            <w:noWrap/>
            <w:vAlign w:val="center"/>
          </w:tcPr>
          <w:p w:rsidR="00BC20CE" w:rsidRPr="00523DCC" w:rsidRDefault="00BC20CE">
            <w:pPr>
              <w:jc w:val="center"/>
              <w:rPr>
                <w:rFonts w:cs="Gautami"/>
                <w:color w:val="FF0000"/>
                <w:sz w:val="16"/>
                <w:szCs w:val="16"/>
              </w:rPr>
            </w:pPr>
            <w:r>
              <w:rPr>
                <w:rFonts w:cs="Gautami"/>
                <w:sz w:val="16"/>
                <w:szCs w:val="16"/>
              </w:rPr>
              <w:t>2</w:t>
            </w:r>
          </w:p>
        </w:tc>
        <w:tc>
          <w:tcPr>
            <w:tcW w:w="1417" w:type="dxa"/>
            <w:tcBorders>
              <w:bottom w:val="nil"/>
            </w:tcBorders>
            <w:shd w:val="clear" w:color="auto" w:fill="DDD9C3"/>
            <w:vAlign w:val="center"/>
          </w:tcPr>
          <w:p w:rsidR="00BC20CE" w:rsidRPr="00523DCC" w:rsidRDefault="00BC20CE">
            <w:pPr>
              <w:jc w:val="center"/>
              <w:rPr>
                <w:rFonts w:cs="Gautami"/>
                <w:color w:val="FF0000"/>
                <w:sz w:val="16"/>
                <w:szCs w:val="16"/>
              </w:rPr>
            </w:pPr>
            <w:r>
              <w:rPr>
                <w:rFonts w:cs="Gautami"/>
                <w:sz w:val="16"/>
                <w:szCs w:val="16"/>
              </w:rPr>
              <w:t>2</w:t>
            </w:r>
          </w:p>
        </w:tc>
      </w:tr>
      <w:tr w:rsidR="00BC20CE" w:rsidRPr="00155A20" w:rsidTr="006A519A">
        <w:trPr>
          <w:trHeight w:hRule="exact" w:val="454"/>
        </w:trPr>
        <w:tc>
          <w:tcPr>
            <w:tcW w:w="2127" w:type="dxa"/>
            <w:tcBorders>
              <w:top w:val="nil"/>
              <w:bottom w:val="single" w:sz="4" w:space="0" w:color="auto"/>
            </w:tcBorders>
            <w:shd w:val="clear" w:color="auto" w:fill="EEECE1"/>
            <w:noWrap/>
            <w:vAlign w:val="center"/>
          </w:tcPr>
          <w:p w:rsidR="00BC20CE" w:rsidRPr="00155A20" w:rsidRDefault="00BC20CE" w:rsidP="006A519A">
            <w:pPr>
              <w:pStyle w:val="AERtabletext"/>
              <w:spacing w:before="60" w:after="60"/>
              <w:rPr>
                <w:b/>
                <w:bCs/>
              </w:rPr>
            </w:pPr>
            <w:r w:rsidRPr="00155A20">
              <w:rPr>
                <w:b/>
                <w:bCs/>
              </w:rPr>
              <w:t>% of total below forecast</w:t>
            </w:r>
          </w:p>
        </w:tc>
        <w:tc>
          <w:tcPr>
            <w:tcW w:w="1842" w:type="dxa"/>
            <w:tcBorders>
              <w:top w:val="nil"/>
              <w:bottom w:val="single" w:sz="4" w:space="0" w:color="auto"/>
            </w:tcBorders>
            <w:shd w:val="clear" w:color="auto" w:fill="EEECE1"/>
            <w:noWrap/>
            <w:vAlign w:val="center"/>
          </w:tcPr>
          <w:p w:rsidR="00BC20CE" w:rsidRPr="00523DCC" w:rsidRDefault="00BC20CE">
            <w:pPr>
              <w:jc w:val="center"/>
              <w:rPr>
                <w:rFonts w:cs="Gautami"/>
                <w:color w:val="FF0000"/>
                <w:sz w:val="16"/>
                <w:szCs w:val="16"/>
              </w:rPr>
            </w:pPr>
            <w:r>
              <w:rPr>
                <w:rFonts w:cs="Gautami"/>
                <w:sz w:val="16"/>
                <w:szCs w:val="16"/>
              </w:rPr>
              <w:t>24</w:t>
            </w:r>
          </w:p>
        </w:tc>
        <w:tc>
          <w:tcPr>
            <w:tcW w:w="1418" w:type="dxa"/>
            <w:tcBorders>
              <w:top w:val="nil"/>
              <w:bottom w:val="single" w:sz="4" w:space="0" w:color="auto"/>
            </w:tcBorders>
            <w:shd w:val="clear" w:color="auto" w:fill="EEECE1"/>
            <w:noWrap/>
            <w:vAlign w:val="center"/>
          </w:tcPr>
          <w:p w:rsidR="00BC20CE" w:rsidRPr="00523DCC" w:rsidRDefault="00BC20CE">
            <w:pPr>
              <w:jc w:val="center"/>
              <w:rPr>
                <w:rFonts w:cs="Gautami"/>
                <w:color w:val="FF0000"/>
                <w:sz w:val="16"/>
                <w:szCs w:val="16"/>
              </w:rPr>
            </w:pPr>
            <w:r>
              <w:rPr>
                <w:rFonts w:cs="Gautami"/>
                <w:sz w:val="16"/>
                <w:szCs w:val="16"/>
              </w:rPr>
              <w:t>24</w:t>
            </w:r>
          </w:p>
        </w:tc>
        <w:tc>
          <w:tcPr>
            <w:tcW w:w="1843" w:type="dxa"/>
            <w:tcBorders>
              <w:top w:val="nil"/>
              <w:bottom w:val="single" w:sz="4" w:space="0" w:color="auto"/>
            </w:tcBorders>
            <w:shd w:val="clear" w:color="auto" w:fill="EEECE1"/>
            <w:noWrap/>
            <w:vAlign w:val="center"/>
          </w:tcPr>
          <w:p w:rsidR="00BC20CE" w:rsidRPr="00523DCC" w:rsidRDefault="00BC20CE">
            <w:pPr>
              <w:jc w:val="center"/>
              <w:rPr>
                <w:rFonts w:cs="Gautami"/>
                <w:color w:val="FF0000"/>
                <w:sz w:val="16"/>
                <w:szCs w:val="16"/>
              </w:rPr>
            </w:pPr>
            <w:r>
              <w:rPr>
                <w:rFonts w:cs="Gautami"/>
                <w:sz w:val="16"/>
                <w:szCs w:val="16"/>
              </w:rPr>
              <w:t>0</w:t>
            </w:r>
          </w:p>
        </w:tc>
        <w:tc>
          <w:tcPr>
            <w:tcW w:w="1417" w:type="dxa"/>
            <w:tcBorders>
              <w:top w:val="nil"/>
              <w:bottom w:val="single" w:sz="4" w:space="0" w:color="auto"/>
            </w:tcBorders>
            <w:shd w:val="clear" w:color="auto" w:fill="EEECE1"/>
            <w:vAlign w:val="center"/>
          </w:tcPr>
          <w:p w:rsidR="00BC20CE" w:rsidRPr="00523DCC" w:rsidRDefault="00BC20CE">
            <w:pPr>
              <w:jc w:val="center"/>
              <w:rPr>
                <w:rFonts w:cs="Gautami"/>
                <w:color w:val="FF0000"/>
                <w:sz w:val="16"/>
                <w:szCs w:val="16"/>
              </w:rPr>
            </w:pPr>
            <w:r>
              <w:rPr>
                <w:rFonts w:cs="Gautami"/>
                <w:sz w:val="16"/>
                <w:szCs w:val="16"/>
              </w:rPr>
              <w:t>2</w:t>
            </w:r>
          </w:p>
        </w:tc>
      </w:tr>
    </w:tbl>
    <w:p w:rsidR="006A519A" w:rsidRPr="00D70101" w:rsidRDefault="006A519A" w:rsidP="006A519A">
      <w:pPr>
        <w:pStyle w:val="AERbodytext"/>
        <w:spacing w:before="120" w:after="120"/>
        <w:rPr>
          <w:sz w:val="16"/>
          <w:szCs w:val="16"/>
        </w:rPr>
      </w:pPr>
      <w:r w:rsidRPr="00D70101">
        <w:rPr>
          <w:sz w:val="16"/>
          <w:szCs w:val="16"/>
        </w:rPr>
        <w:t>Note: Due to rounding, the total may not be exactly 100 per cent</w:t>
      </w:r>
    </w:p>
    <w:p w:rsidR="006A519A" w:rsidRDefault="006A519A" w:rsidP="00BD4E2C">
      <w:pPr>
        <w:pStyle w:val="Heading2"/>
        <w:rPr>
          <w:color w:val="auto"/>
        </w:rPr>
      </w:pPr>
    </w:p>
    <w:p w:rsidR="00977DC4" w:rsidRPr="00943307" w:rsidRDefault="00D96C94" w:rsidP="00BD4E2C">
      <w:pPr>
        <w:pStyle w:val="Heading2"/>
      </w:pPr>
      <w:r w:rsidRPr="00943307">
        <w:t xml:space="preserve">Generation </w:t>
      </w:r>
      <w:r w:rsidR="00721BA4" w:rsidRPr="00943307">
        <w:t>and bidding patterns</w:t>
      </w:r>
    </w:p>
    <w:p w:rsidR="00977DC4" w:rsidRPr="002D23B9" w:rsidRDefault="006A519A" w:rsidP="00977DC4">
      <w:pPr>
        <w:pStyle w:val="AERbodytext"/>
        <w:spacing w:before="120"/>
      </w:pPr>
      <w:r>
        <w:t xml:space="preserve">The AER reviews generator bidding as part of its market monitoring to better understand the drivers behind price variations. </w:t>
      </w:r>
      <w:r w:rsidR="000D5C60" w:rsidRPr="002D23B9">
        <w:t xml:space="preserve">Figures </w:t>
      </w:r>
      <w:r w:rsidR="00E27C7A" w:rsidRPr="002D23B9">
        <w:t>2</w:t>
      </w:r>
      <w:r w:rsidR="000D5C60" w:rsidRPr="002D23B9">
        <w:t xml:space="preserve"> to </w:t>
      </w:r>
      <w:r w:rsidR="00E27C7A" w:rsidRPr="002D23B9">
        <w:t>6</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F4461C" w:rsidRPr="002D23B9" w:rsidRDefault="00F4461C" w:rsidP="0064299A">
      <w:pPr>
        <w:pStyle w:val="Figureheading"/>
        <w:numPr>
          <w:ilvl w:val="0"/>
          <w:numId w:val="0"/>
        </w:numPr>
      </w:pPr>
      <w:r w:rsidRPr="00B173A3">
        <w:lastRenderedPageBreak/>
        <w:t>Figure 2: Queensland generation and bidding patterns</w:t>
      </w:r>
    </w:p>
    <w:p w:rsidR="00F4461C" w:rsidRPr="002D23B9" w:rsidRDefault="00A01810" w:rsidP="002652CD">
      <w:pPr>
        <w:pStyle w:val="AERbodytext"/>
      </w:pPr>
      <w:r>
        <w:pict>
          <v:shape id="_x0000_i1027" type="#_x0000_t75" alt="Figure 2 shows the total generation dispatched and the amounts of capacity bid in within certain price bands for each 30 minute trading interval in Queensland this week.&#10;Should you require a description of the data for the week under review, please email us at AERInquiry@aer.gov.au.&#10;" style="width:451pt;height:307pt">
            <v:imagedata r:id="rId12" o:title=""/>
          </v:shape>
        </w:pict>
      </w:r>
    </w:p>
    <w:p w:rsidR="00F4461C" w:rsidRPr="002D23B9" w:rsidRDefault="00F4461C" w:rsidP="00F4461C">
      <w:pPr>
        <w:pStyle w:val="Figureheading"/>
        <w:numPr>
          <w:ilvl w:val="0"/>
          <w:numId w:val="0"/>
        </w:numPr>
        <w:ind w:left="357" w:hanging="357"/>
      </w:pPr>
      <w:r w:rsidRPr="00B173A3">
        <w:t>Figure 3: New South Wales generation and bidding patterns</w:t>
      </w:r>
    </w:p>
    <w:p w:rsidR="002652CD" w:rsidRPr="002D23B9" w:rsidRDefault="00A01810" w:rsidP="002652CD">
      <w:pPr>
        <w:pStyle w:val="AERbodytext"/>
      </w:pPr>
      <w:r>
        <w:pict>
          <v:shape id="_x0000_i1028" type="#_x0000_t75" alt="Figure 3 shows the total generation dispatched and the amounts of capacity bid in within certain price bands for each 30 minute trading interval in New South Wales this week.&#10;Should you require a description of the data for the week under review, please email us at AERInquiry@aer.gov.au.&#10;" style="width:451pt;height:307pt">
            <v:imagedata r:id="rId13" o:title=""/>
          </v:shape>
        </w:pict>
      </w:r>
    </w:p>
    <w:p w:rsidR="00F4461C" w:rsidRPr="00A25A2E" w:rsidRDefault="00F4461C" w:rsidP="00F4461C">
      <w:pPr>
        <w:pStyle w:val="Figureheading"/>
        <w:numPr>
          <w:ilvl w:val="0"/>
          <w:numId w:val="0"/>
        </w:numPr>
        <w:ind w:left="357" w:hanging="357"/>
      </w:pPr>
      <w:r w:rsidRPr="00A25A2E">
        <w:t xml:space="preserve">Figure </w:t>
      </w:r>
      <w:r w:rsidR="00261A37" w:rsidRPr="00A25A2E">
        <w:t>4</w:t>
      </w:r>
      <w:r w:rsidRPr="00A25A2E">
        <w:t>: Victoria generation and bidding patterns</w:t>
      </w:r>
    </w:p>
    <w:p w:rsidR="00785F23" w:rsidRPr="002D23B9" w:rsidRDefault="00A01810" w:rsidP="00785F23">
      <w:pPr>
        <w:pStyle w:val="AERbodytext"/>
      </w:pPr>
      <w:r>
        <w:pict>
          <v:shape id="_x0000_i1029" type="#_x0000_t75" alt="Figure 4 shows the total generation dispatched and the amounts of capacity bid in within certain price bands for each 30 minute trading interval in Victoria this week.&#10;Should you require a description of the data for the week under review, please email us at AERInquiry@aer.gov.au.&#10;" style="width:451pt;height:307pt">
            <v:imagedata r:id="rId14" o:title=""/>
          </v:shape>
        </w:pict>
      </w:r>
    </w:p>
    <w:p w:rsidR="00C52BE5" w:rsidRPr="00A25A2E" w:rsidRDefault="00C52BE5" w:rsidP="00C52BE5">
      <w:pPr>
        <w:pStyle w:val="Figureheading"/>
        <w:numPr>
          <w:ilvl w:val="0"/>
          <w:numId w:val="0"/>
        </w:numPr>
        <w:ind w:left="357" w:hanging="357"/>
      </w:pPr>
      <w:r w:rsidRPr="00A25A2E">
        <w:t xml:space="preserve">Figure </w:t>
      </w:r>
      <w:r w:rsidR="00261A37" w:rsidRPr="00A25A2E">
        <w:t>5</w:t>
      </w:r>
      <w:r w:rsidRPr="00A25A2E">
        <w:t>: South Australia</w:t>
      </w:r>
      <w:r w:rsidR="00D96C94" w:rsidRPr="00A25A2E">
        <w:t xml:space="preserve"> generation and bidding patterns</w:t>
      </w:r>
    </w:p>
    <w:p w:rsidR="002652CD" w:rsidRPr="002D23B9" w:rsidRDefault="00A01810" w:rsidP="002652CD">
      <w:pPr>
        <w:pStyle w:val="AERbodytext"/>
      </w:pPr>
      <w:r>
        <w:pict>
          <v:shape id="_x0000_i1030" type="#_x0000_t75" alt="Figure 5 shows the total generation dispatched and the amounts of capacity bid in within certain price bands for each 30 minute trading interval in South Australia this week.&#10;Should you require a description of the data for the week under review, please email us at AERInquiry@aer.gov.au.&#10;" style="width:451pt;height:307.7pt">
            <v:imagedata r:id="rId15" o:title=""/>
          </v:shape>
        </w:pict>
      </w:r>
    </w:p>
    <w:p w:rsidR="0048688D" w:rsidRPr="002D23B9" w:rsidRDefault="0048688D" w:rsidP="0048688D">
      <w:pPr>
        <w:pStyle w:val="Figureheading"/>
        <w:numPr>
          <w:ilvl w:val="0"/>
          <w:numId w:val="0"/>
        </w:numPr>
        <w:ind w:left="357" w:hanging="357"/>
      </w:pPr>
      <w:r w:rsidRPr="00A25A2E">
        <w:t xml:space="preserve">Figure </w:t>
      </w:r>
      <w:r w:rsidR="00E27C7A" w:rsidRPr="00A25A2E">
        <w:t>6</w:t>
      </w:r>
      <w:r w:rsidRPr="00A25A2E">
        <w:t>: Tasmania</w:t>
      </w:r>
      <w:r w:rsidR="00D96C94" w:rsidRPr="00A25A2E">
        <w:t xml:space="preserve"> generation and bidding patterns</w:t>
      </w:r>
    </w:p>
    <w:p w:rsidR="00B027E9" w:rsidRPr="002D23B9" w:rsidRDefault="00A01810" w:rsidP="002652CD">
      <w:pPr>
        <w:pStyle w:val="AERbodytext"/>
      </w:pPr>
      <w:r>
        <w:pict>
          <v:shape id="_x0000_i1031" type="#_x0000_t75" alt="Figure 6 shows the total generation dispatched and the amounts of capacity bid in within certain price bands for each 30 minute trading interval in Tasmania this week.&#10;Should you require a description of the data for the week under review, please email us at AERInquiry@aer.gov.au.&#10;" style="width:451pt;height:307pt">
            <v:imagedata r:id="rId16" o:title=""/>
          </v:shape>
        </w:pict>
      </w:r>
    </w:p>
    <w:p w:rsidR="00977DC4" w:rsidRPr="00943307" w:rsidRDefault="000125FD" w:rsidP="00BD4E2C">
      <w:pPr>
        <w:pStyle w:val="Heading2"/>
      </w:pPr>
      <w:r w:rsidRPr="00943307">
        <w:t>Frequency control a</w:t>
      </w:r>
      <w:r w:rsidR="00221B68" w:rsidRPr="00943307">
        <w:t>ncillary services market</w:t>
      </w:r>
      <w:r w:rsidRPr="00943307">
        <w:t>s</w:t>
      </w:r>
    </w:p>
    <w:p w:rsidR="006A519A" w:rsidRDefault="0026403E" w:rsidP="006A519A">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w:t>
      </w:r>
      <w:r w:rsidR="006A519A">
        <w:t xml:space="preserve">There are six contingency services: </w:t>
      </w:r>
    </w:p>
    <w:p w:rsidR="006A519A" w:rsidRDefault="006A519A" w:rsidP="006A519A">
      <w:pPr>
        <w:pStyle w:val="Listbullet1"/>
      </w:pPr>
      <w:r w:rsidRPr="00733916">
        <w:rPr>
          <w:i/>
        </w:rPr>
        <w:t>fast services</w:t>
      </w:r>
      <w:r>
        <w:t>, which arrest a frequency deviation within the first 6 seconds of a contingent event (raise and lower 6 second)</w:t>
      </w:r>
    </w:p>
    <w:p w:rsidR="006A519A" w:rsidRDefault="006A519A" w:rsidP="006A519A">
      <w:pPr>
        <w:pStyle w:val="Listbullet1"/>
      </w:pPr>
      <w:r w:rsidRPr="00733916">
        <w:rPr>
          <w:i/>
        </w:rPr>
        <w:t>slow services</w:t>
      </w:r>
      <w:r>
        <w:t>, which stabilise frequency deviations within 60 seconds of the event (raise and lower 60 second)</w:t>
      </w:r>
    </w:p>
    <w:p w:rsidR="006A519A" w:rsidRDefault="006A519A" w:rsidP="006A519A">
      <w:pPr>
        <w:pStyle w:val="Listbullet1"/>
      </w:pPr>
      <w:r w:rsidRPr="00B61C11">
        <w:rPr>
          <w:i/>
        </w:rPr>
        <w:t>delayed services</w:t>
      </w:r>
      <w:r>
        <w:t>, which return the frequency to the normal operating band within 5 minutes (raise and lower 5 minute) at which time the five minute dispatch process will take effect.</w:t>
      </w:r>
    </w:p>
    <w:p w:rsidR="006A519A" w:rsidRDefault="006A519A" w:rsidP="006A519A">
      <w:pPr>
        <w:pStyle w:val="AERbodytext"/>
      </w:pPr>
      <w:r>
        <w:t>The Electricity Rules stipulate that generators pay for raise contingency services and customers pay for lower contingency services. Regulation services are paid for on a “causer pays” basis determined every four weeks by AEMO.</w:t>
      </w:r>
    </w:p>
    <w:p w:rsidR="006A519A" w:rsidRDefault="006A519A" w:rsidP="006A519A">
      <w:pPr>
        <w:pStyle w:val="AERbodytext"/>
      </w:pPr>
      <w:r w:rsidRPr="00F618E2">
        <w:t>The total cost of FCAS on the mainland for the week was $</w:t>
      </w:r>
      <w:r w:rsidR="00523DCC">
        <w:t>165</w:t>
      </w:r>
      <w:r w:rsidR="006B264A">
        <w:t> 0</w:t>
      </w:r>
      <w:r>
        <w:t xml:space="preserve">00 </w:t>
      </w:r>
      <w:r w:rsidRPr="00F618E2">
        <w:t>or less than 1 per cent of energy turnover on the</w:t>
      </w:r>
      <w:r>
        <w:t xml:space="preserve"> mainland</w:t>
      </w:r>
      <w:r w:rsidRPr="00021E37">
        <w:t xml:space="preserve">. </w:t>
      </w:r>
    </w:p>
    <w:p w:rsidR="006D4542" w:rsidRDefault="006A519A" w:rsidP="006A519A">
      <w:pPr>
        <w:pStyle w:val="AERbodytext"/>
      </w:pPr>
      <w:r w:rsidRPr="00021E37">
        <w:t>In Tasmania (wh</w:t>
      </w:r>
      <w:r w:rsidR="00BB7B4A">
        <w:t>ere</w:t>
      </w:r>
      <w:r w:rsidRPr="00021E37">
        <w:t xml:space="preserve"> dedicated </w:t>
      </w:r>
      <w:r w:rsidR="00BB7B4A">
        <w:t xml:space="preserve">local </w:t>
      </w:r>
      <w:r w:rsidRPr="00021E37">
        <w:t xml:space="preserve">services </w:t>
      </w:r>
      <w:r w:rsidR="00BB7B4A">
        <w:t xml:space="preserve">are required </w:t>
      </w:r>
      <w:r w:rsidR="00A75F15">
        <w:t>often</w:t>
      </w:r>
      <w:r w:rsidRPr="00021E37">
        <w:t>) the total cost for the week was $</w:t>
      </w:r>
      <w:r w:rsidR="005447EF">
        <w:t>718 </w:t>
      </w:r>
      <w:r w:rsidR="001E6389">
        <w:t>0</w:t>
      </w:r>
      <w:r w:rsidRPr="00021E37">
        <w:t xml:space="preserve">00 or </w:t>
      </w:r>
      <w:r w:rsidR="005447EF">
        <w:t>around 12</w:t>
      </w:r>
      <w:r w:rsidRPr="00021E37">
        <w:t xml:space="preserve"> per cent of energy turnover in Tasmania. </w:t>
      </w:r>
      <w:r w:rsidR="006D4542">
        <w:t>A majority of this</w:t>
      </w:r>
      <w:r w:rsidR="00BB7B4A">
        <w:t xml:space="preserve"> cost</w:t>
      </w:r>
      <w:r w:rsidR="006D4542">
        <w:t xml:space="preserve"> ($663 475) </w:t>
      </w:r>
      <w:r w:rsidR="00BB7B4A">
        <w:t xml:space="preserve">occurred </w:t>
      </w:r>
      <w:r w:rsidR="00FD5838">
        <w:t>over a total of 8 dispatch intervals</w:t>
      </w:r>
      <w:r w:rsidR="005447EF">
        <w:t xml:space="preserve"> on Monday, Wednesday and Thursday</w:t>
      </w:r>
      <w:r w:rsidR="00CC5D83">
        <w:t>.</w:t>
      </w:r>
    </w:p>
    <w:p w:rsidR="001D22C3" w:rsidRDefault="001D22C3" w:rsidP="001D22C3">
      <w:pPr>
        <w:pStyle w:val="AERbodytext"/>
      </w:pPr>
      <w:r>
        <w:t xml:space="preserve">On Monday 16 December at 6.49 pm, effective from 8.05 pm, Hydro Tasmania rebid all of its lower regulation service capacity from prices below $10/MW to $13 100/MW. The reason given was “1830A p30 </w:t>
      </w:r>
      <w:r w:rsidR="00A75F15">
        <w:t>B</w:t>
      </w:r>
      <w:r>
        <w:t>asslink flow different to forecast.” At 8.40 pm the export limit across Basslink increased causing a 50 MW requirement for local lower regulation service in Tasmania. Given that all of this capacity was at the price cap, the price went to $13 100/MW. The cost of the service over that dispatch interval was $54 583. Effective from 8.45 pm the above rebid was reversed, resulting in lower prices.</w:t>
      </w:r>
    </w:p>
    <w:p w:rsidR="00CE0849" w:rsidRDefault="001D22C3" w:rsidP="00C20604">
      <w:pPr>
        <w:pStyle w:val="AERbodytext"/>
      </w:pPr>
      <w:r w:rsidRPr="009B18C2" w:rsidDel="001D22C3">
        <w:t xml:space="preserve"> </w:t>
      </w:r>
      <w:r w:rsidR="00CE11E8">
        <w:t>On 18 December a</w:t>
      </w:r>
      <w:r w:rsidR="00CE0849">
        <w:t xml:space="preserve">t around 4.40 pm the availability of Basslink </w:t>
      </w:r>
      <w:r w:rsidR="00A84C48">
        <w:t xml:space="preserve">was rebid </w:t>
      </w:r>
      <w:r w:rsidR="00CE0849">
        <w:t>from 594 MW to 571 MW. The reason given was “Scen</w:t>
      </w:r>
      <w:r w:rsidR="00A84C48">
        <w:t>a</w:t>
      </w:r>
      <w:r w:rsidR="00CE0849">
        <w:t xml:space="preserve">rio 1”, which </w:t>
      </w:r>
      <w:r w:rsidR="005E2187">
        <w:t xml:space="preserve">the AER understands </w:t>
      </w:r>
      <w:r w:rsidR="00CE0849">
        <w:t xml:space="preserve">means that Basslink was operating outside its </w:t>
      </w:r>
      <w:r w:rsidR="005E2187">
        <w:t xml:space="preserve">technical </w:t>
      </w:r>
      <w:r w:rsidR="00CE0849">
        <w:t xml:space="preserve">envelope and </w:t>
      </w:r>
      <w:r w:rsidR="006C2E36">
        <w:t xml:space="preserve">flow </w:t>
      </w:r>
      <w:r w:rsidR="00CE0849">
        <w:t xml:space="preserve">needed to be reduced. This resulted in the target and the availability of Basslink </w:t>
      </w:r>
      <w:r w:rsidR="005E2187">
        <w:t xml:space="preserve">aligning during the </w:t>
      </w:r>
      <w:r w:rsidR="00CE0849">
        <w:t>5.05 pm, 5.10 pm and 5.15 pm</w:t>
      </w:r>
      <w:r w:rsidR="005E2187">
        <w:t xml:space="preserve"> dispatch intervals</w:t>
      </w:r>
      <w:r w:rsidR="00CE0849">
        <w:t xml:space="preserve">. </w:t>
      </w:r>
      <w:r w:rsidR="005E2187">
        <w:t>With</w:t>
      </w:r>
      <w:r w:rsidR="00CE0849">
        <w:t xml:space="preserve"> no headroom on Basslink to transfer lower </w:t>
      </w:r>
      <w:r w:rsidR="005E2187">
        <w:t xml:space="preserve">regulation </w:t>
      </w:r>
      <w:r w:rsidR="00CE0849">
        <w:t>services</w:t>
      </w:r>
      <w:r w:rsidR="005E2187">
        <w:t>, those services</w:t>
      </w:r>
      <w:r w:rsidR="00CE0849">
        <w:t xml:space="preserve"> </w:t>
      </w:r>
      <w:r w:rsidR="005E2187">
        <w:t xml:space="preserve">needed </w:t>
      </w:r>
      <w:r w:rsidR="00CE0849">
        <w:t>to be sourced locally</w:t>
      </w:r>
      <w:r w:rsidR="005E2187">
        <w:t xml:space="preserve"> </w:t>
      </w:r>
      <w:r w:rsidR="006C2E36">
        <w:t>r</w:t>
      </w:r>
      <w:r w:rsidR="005E2187">
        <w:t xml:space="preserve">esulting in an </w:t>
      </w:r>
      <w:r w:rsidR="00CE0849">
        <w:t>increase</w:t>
      </w:r>
      <w:r w:rsidR="005E2187">
        <w:t xml:space="preserve"> of </w:t>
      </w:r>
      <w:r w:rsidR="00CE0849">
        <w:t>2</w:t>
      </w:r>
      <w:r w:rsidR="005E2187">
        <w:t>4</w:t>
      </w:r>
      <w:r w:rsidR="00CE0849">
        <w:t xml:space="preserve"> MW. </w:t>
      </w:r>
      <w:r w:rsidR="006C2E36">
        <w:t xml:space="preserve">These additional services were all priced at </w:t>
      </w:r>
      <w:r w:rsidR="00CE0849">
        <w:t xml:space="preserve">the price cap </w:t>
      </w:r>
      <w:r w:rsidR="00CE11E8">
        <w:t>cost</w:t>
      </w:r>
      <w:r>
        <w:t>ing</w:t>
      </w:r>
      <w:r w:rsidR="00CE11E8">
        <w:t xml:space="preserve"> around $16</w:t>
      </w:r>
      <w:r w:rsidR="000608FA">
        <w:t>4</w:t>
      </w:r>
      <w:r w:rsidR="00CE11E8">
        <w:t> 000</w:t>
      </w:r>
      <w:r w:rsidR="00CE0849">
        <w:t>.</w:t>
      </w:r>
      <w:r w:rsidR="000608FA">
        <w:t xml:space="preserve"> At 5.13 pm, effective from 5.20 pm, Hydro Tasmania rebid all available capacity </w:t>
      </w:r>
      <w:r w:rsidR="006C2E36">
        <w:t xml:space="preserve">for regulation services </w:t>
      </w:r>
      <w:r w:rsidR="000608FA">
        <w:t xml:space="preserve">to below $10/MW </w:t>
      </w:r>
      <w:r w:rsidR="006C2E36">
        <w:t xml:space="preserve">resulting in the price </w:t>
      </w:r>
      <w:r w:rsidR="000608FA">
        <w:t>return</w:t>
      </w:r>
      <w:r w:rsidR="006C2E36">
        <w:t>ing</w:t>
      </w:r>
      <w:r w:rsidR="000608FA">
        <w:t xml:space="preserve"> to previous levels.</w:t>
      </w:r>
    </w:p>
    <w:p w:rsidR="00DA3370" w:rsidRDefault="0041724E" w:rsidP="00C20604">
      <w:pPr>
        <w:pStyle w:val="AERbodytext"/>
      </w:pPr>
      <w:r>
        <w:t xml:space="preserve">On Thursday 19 December, </w:t>
      </w:r>
      <w:r w:rsidR="006C2E36">
        <w:t xml:space="preserve">the flow across </w:t>
      </w:r>
      <w:r>
        <w:t xml:space="preserve">Basslink into Victoria </w:t>
      </w:r>
      <w:r w:rsidR="006C2E36">
        <w:t xml:space="preserve">was </w:t>
      </w:r>
      <w:r>
        <w:t xml:space="preserve">at its limit from around midday. </w:t>
      </w:r>
      <w:r w:rsidR="006C2E36">
        <w:t>Local l</w:t>
      </w:r>
      <w:r>
        <w:t xml:space="preserve">ower regulation services </w:t>
      </w:r>
      <w:r w:rsidR="006C2E36">
        <w:t xml:space="preserve">were </w:t>
      </w:r>
      <w:r>
        <w:t>being dispatched to meet the requirement</w:t>
      </w:r>
      <w:r w:rsidR="00A84C48">
        <w:t xml:space="preserve"> in Tasmania</w:t>
      </w:r>
      <w:r>
        <w:t xml:space="preserve"> </w:t>
      </w:r>
      <w:r w:rsidR="006C2E36">
        <w:t xml:space="preserve">during </w:t>
      </w:r>
      <w:r>
        <w:t>this time</w:t>
      </w:r>
      <w:r w:rsidR="006C2E36">
        <w:t>.</w:t>
      </w:r>
      <w:r>
        <w:t xml:space="preserve"> </w:t>
      </w:r>
      <w:r w:rsidR="006C2E36" w:rsidRPr="00A01810">
        <w:t>O</w:t>
      </w:r>
      <w:r w:rsidRPr="000D565D">
        <w:t>n six occasions</w:t>
      </w:r>
      <w:r>
        <w:t xml:space="preserve"> (4 pm, 4.15 pm, 5.25 pm, 5.30 pm, 5.35 pm and 6.05 pm)</w:t>
      </w:r>
      <w:r w:rsidR="006C2E36">
        <w:t xml:space="preserve"> the price for local lower regulation services spiked with </w:t>
      </w:r>
      <w:r>
        <w:t>prices rang</w:t>
      </w:r>
      <w:r w:rsidR="00DA3370">
        <w:t>ing</w:t>
      </w:r>
      <w:r>
        <w:t xml:space="preserve"> </w:t>
      </w:r>
      <w:r w:rsidR="006C2E36">
        <w:t xml:space="preserve">from </w:t>
      </w:r>
      <w:r>
        <w:t xml:space="preserve">$2467/MW </w:t>
      </w:r>
      <w:r w:rsidR="006C2E36">
        <w:t xml:space="preserve">to </w:t>
      </w:r>
      <w:r>
        <w:t>$13 100/MW</w:t>
      </w:r>
      <w:r w:rsidR="006C2E36">
        <w:t>. The high prices</w:t>
      </w:r>
      <w:r>
        <w:t xml:space="preserve">, </w:t>
      </w:r>
      <w:r w:rsidR="00DA3370">
        <w:t xml:space="preserve">generally </w:t>
      </w:r>
      <w:r>
        <w:t xml:space="preserve">related to </w:t>
      </w:r>
      <w:r w:rsidR="00DA3370">
        <w:t xml:space="preserve">the </w:t>
      </w:r>
      <w:r>
        <w:t xml:space="preserve">co-optimisation </w:t>
      </w:r>
      <w:r w:rsidR="00DA3370">
        <w:t xml:space="preserve">process </w:t>
      </w:r>
      <w:r>
        <w:t>of the service with energy and other frequency services</w:t>
      </w:r>
      <w:r w:rsidR="00D96349">
        <w:t xml:space="preserve"> (in Tasmania and on the mainland)</w:t>
      </w:r>
      <w:r>
        <w:t xml:space="preserve">. </w:t>
      </w:r>
    </w:p>
    <w:p w:rsidR="0041724E" w:rsidRDefault="00DF6B0F" w:rsidP="00C20604">
      <w:pPr>
        <w:pStyle w:val="AERbodytext"/>
      </w:pPr>
      <w:r>
        <w:t xml:space="preserve">At 5.40 pm, the availability of Basslink </w:t>
      </w:r>
      <w:r w:rsidR="00DA3370">
        <w:t xml:space="preserve">was reduced </w:t>
      </w:r>
      <w:r>
        <w:t>from 594 MW to 571 MW for the following trading interval.</w:t>
      </w:r>
      <w:r w:rsidRPr="00DF6B0F">
        <w:t xml:space="preserve"> </w:t>
      </w:r>
      <w:r>
        <w:t xml:space="preserve">The reason given was “Scenario 1”. This resulted in the target and the maximum availability of Basslink </w:t>
      </w:r>
      <w:r w:rsidR="00DA3370">
        <w:t xml:space="preserve">aligning </w:t>
      </w:r>
      <w:r>
        <w:t xml:space="preserve">at 6.05 pm. </w:t>
      </w:r>
      <w:r w:rsidR="00DA3370">
        <w:t xml:space="preserve">As a result, </w:t>
      </w:r>
      <w:r>
        <w:t xml:space="preserve">the </w:t>
      </w:r>
      <w:r w:rsidR="00B03FC6">
        <w:t xml:space="preserve">local </w:t>
      </w:r>
      <w:r>
        <w:t xml:space="preserve">lower regulation requirement increased by </w:t>
      </w:r>
      <w:r w:rsidR="00B03FC6">
        <w:t>24 MW</w:t>
      </w:r>
      <w:r w:rsidR="00DA3370">
        <w:t xml:space="preserve"> and </w:t>
      </w:r>
      <w:r w:rsidR="00B03FC6">
        <w:t>the price increased to $13 100/MW.</w:t>
      </w:r>
      <w:r w:rsidR="002407BB">
        <w:t xml:space="preserve"> </w:t>
      </w:r>
      <w:r w:rsidR="0041724E">
        <w:t>Prices returned to lower levels from 6.15 pm.</w:t>
      </w:r>
      <w:r w:rsidR="002407BB" w:rsidRPr="002407BB">
        <w:t xml:space="preserve"> </w:t>
      </w:r>
      <w:r w:rsidR="002407BB">
        <w:t>Th</w:t>
      </w:r>
      <w:r w:rsidR="00DA3370">
        <w:t>e</w:t>
      </w:r>
      <w:r w:rsidR="002407BB">
        <w:t xml:space="preserve"> total cost of </w:t>
      </w:r>
      <w:r w:rsidR="00DA3370">
        <w:t xml:space="preserve">this service was </w:t>
      </w:r>
      <w:r w:rsidR="002407BB">
        <w:t xml:space="preserve">$133 424 </w:t>
      </w:r>
      <w:r w:rsidR="00DA3370">
        <w:t xml:space="preserve">during </w:t>
      </w:r>
      <w:r w:rsidR="002407BB">
        <w:t xml:space="preserve">the </w:t>
      </w:r>
      <w:r w:rsidR="000D565D">
        <w:t>6.30pm trading interval</w:t>
      </w:r>
      <w:r w:rsidR="002407BB">
        <w:t>.</w:t>
      </w:r>
    </w:p>
    <w:p w:rsidR="0041724E" w:rsidRDefault="00DA3370" w:rsidP="00C20604">
      <w:pPr>
        <w:pStyle w:val="AERbodytext"/>
      </w:pPr>
      <w:r>
        <w:t xml:space="preserve">The price of </w:t>
      </w:r>
      <w:r w:rsidR="0041724E">
        <w:t xml:space="preserve">raise regulation service in Tasmania increased </w:t>
      </w:r>
      <w:r>
        <w:t xml:space="preserve">to </w:t>
      </w:r>
      <w:r w:rsidR="0041724E">
        <w:t>$13 000</w:t>
      </w:r>
      <w:r w:rsidR="000D565D">
        <w:t>/MW</w:t>
      </w:r>
      <w:r w:rsidR="0041724E">
        <w:t xml:space="preserve"> </w:t>
      </w:r>
      <w:r w:rsidR="000D565D">
        <w:t xml:space="preserve">at around 8.50pm, </w:t>
      </w:r>
      <w:r w:rsidR="0041724E">
        <w:t xml:space="preserve">with the resulting cost </w:t>
      </w:r>
      <w:r w:rsidR="000D565D">
        <w:t xml:space="preserve">of </w:t>
      </w:r>
      <w:r w:rsidR="0041724E">
        <w:t xml:space="preserve">$311 718. The </w:t>
      </w:r>
      <w:r w:rsidR="000D565D">
        <w:t xml:space="preserve">increase </w:t>
      </w:r>
      <w:r w:rsidR="0041724E">
        <w:t xml:space="preserve">related to issues with the Basslink frequency controller which occurred from around 8.25 pm. </w:t>
      </w:r>
      <w:r w:rsidR="000D565D">
        <w:t xml:space="preserve">By </w:t>
      </w:r>
      <w:r w:rsidR="0041724E">
        <w:t xml:space="preserve">8.55 pm, the majority of raise regulation capacity was rebid to </w:t>
      </w:r>
      <w:r w:rsidR="000D565D">
        <w:t xml:space="preserve">prices </w:t>
      </w:r>
      <w:r w:rsidR="0041724E">
        <w:t xml:space="preserve">below $100/MW, while the remaining raise services was rebid to $2/MW or lower. </w:t>
      </w:r>
      <w:r w:rsidR="000D565D">
        <w:t>The p</w:t>
      </w:r>
      <w:r w:rsidR="0041724E">
        <w:t>rice</w:t>
      </w:r>
      <w:r w:rsidR="000D565D">
        <w:t xml:space="preserve"> for raise regulation in Tasmania </w:t>
      </w:r>
      <w:r w:rsidR="0041724E">
        <w:t>return</w:t>
      </w:r>
      <w:r w:rsidR="000D565D">
        <w:t>ed</w:t>
      </w:r>
      <w:r w:rsidR="0041724E">
        <w:t xml:space="preserve"> to below $40/MW from 9 pm.</w:t>
      </w:r>
    </w:p>
    <w:p w:rsidR="00977DC4" w:rsidRPr="002D23B9" w:rsidRDefault="00221B68" w:rsidP="00977DC4">
      <w:pPr>
        <w:pStyle w:val="AERbodytext"/>
      </w:pPr>
      <w:r w:rsidRPr="002D23B9">
        <w:t xml:space="preserve">Figure </w:t>
      </w:r>
      <w:r w:rsidR="00E27C7A" w:rsidRPr="002D23B9">
        <w:t>7</w:t>
      </w:r>
      <w:r w:rsidR="0048688D" w:rsidRPr="002D23B9">
        <w:t xml:space="preserve"> </w:t>
      </w:r>
      <w:r w:rsidRPr="002D23B9">
        <w:t>shows the daily breakdown of cost</w:t>
      </w:r>
      <w:r w:rsidR="00E970B3" w:rsidRPr="002D23B9">
        <w:t>s</w:t>
      </w:r>
      <w:r w:rsidRPr="002D23B9">
        <w:t xml:space="preserve"> for each </w:t>
      </w:r>
      <w:r w:rsidR="00E970B3" w:rsidRPr="002D23B9">
        <w:t>service</w:t>
      </w:r>
      <w:r w:rsidR="00453CD8" w:rsidRPr="002D23B9">
        <w:t xml:space="preserve">, as well as the average </w:t>
      </w:r>
      <w:r w:rsidR="00F13747" w:rsidRPr="002D23B9">
        <w:t xml:space="preserve">daily </w:t>
      </w:r>
      <w:r w:rsidR="00453CD8" w:rsidRPr="002D23B9">
        <w:t>cost</w:t>
      </w:r>
      <w:r w:rsidR="00E970B3" w:rsidRPr="002D23B9">
        <w:t>s</w:t>
      </w:r>
      <w:r w:rsidR="00453CD8" w:rsidRPr="002D23B9">
        <w:t xml:space="preserve"> </w:t>
      </w:r>
      <w:r w:rsidR="000125FD" w:rsidRPr="002D23B9">
        <w:t xml:space="preserve">for the </w:t>
      </w:r>
      <w:r w:rsidR="00BD3C77" w:rsidRPr="002D23B9">
        <w:t>previous financial year</w:t>
      </w:r>
      <w:r w:rsidRPr="002D23B9">
        <w:t>.</w:t>
      </w:r>
      <w:r w:rsidR="0026403E" w:rsidRPr="002D23B9">
        <w:t xml:space="preserve"> </w:t>
      </w:r>
    </w:p>
    <w:p w:rsidR="00977DC4" w:rsidRPr="002D23B9" w:rsidRDefault="00977DC4" w:rsidP="00977DC4">
      <w:pPr>
        <w:pStyle w:val="Figureheading"/>
        <w:numPr>
          <w:ilvl w:val="0"/>
          <w:numId w:val="0"/>
        </w:numPr>
        <w:ind w:left="357" w:hanging="357"/>
      </w:pPr>
      <w:r w:rsidRPr="00A25A2E">
        <w:t xml:space="preserve">Figure </w:t>
      </w:r>
      <w:r w:rsidR="00E27C7A" w:rsidRPr="00A25A2E">
        <w:t>7</w:t>
      </w:r>
      <w:r w:rsidRPr="00A25A2E">
        <w:t>: Daily frequency control ancillary service cost</w:t>
      </w:r>
    </w:p>
    <w:bookmarkEnd w:id="0"/>
    <w:bookmarkEnd w:id="1"/>
    <w:bookmarkEnd w:id="2"/>
    <w:bookmarkEnd w:id="3"/>
    <w:bookmarkEnd w:id="4"/>
    <w:bookmarkEnd w:id="5"/>
    <w:p w:rsidR="004E70D9" w:rsidRDefault="00A01810" w:rsidP="00B877B0">
      <w:pPr>
        <w:pStyle w:val="AERbodytext"/>
      </w:pPr>
      <w:r>
        <w:pict>
          <v:shape id="_x0000_i1032" type="#_x0000_t75" alt="&quot;Figure 7 shows the daily breakdown of cost for each FCAS for the NEM, as well as the average cost since the beginning of the previous financial year.&#10;Should you require a description of the data for the week under review, please email us at  AERInquiry@aer.gov.au.&quot;" style="width:451pt;height:224.85pt">
            <v:imagedata r:id="rId17" o:title=""/>
          </v:shape>
        </w:pict>
      </w:r>
    </w:p>
    <w:p w:rsidR="00BE1F1A" w:rsidRPr="00943307" w:rsidRDefault="00BE1F1A" w:rsidP="00BE1F1A">
      <w:pPr>
        <w:pStyle w:val="Heading2"/>
      </w:pPr>
      <w:r w:rsidRPr="00943307">
        <w:t>Detailed market analysis of significant price events</w:t>
      </w:r>
    </w:p>
    <w:p w:rsidR="00BE1F1A" w:rsidRPr="004E70D9" w:rsidRDefault="00BE1F1A" w:rsidP="00BE1F1A">
      <w:pPr>
        <w:pStyle w:val="AERbodytext"/>
      </w:pPr>
      <w:r w:rsidRPr="002D23B9">
        <w:t xml:space="preserve">We provide more detailed analysis of events where the spot price was greater than three times the weekly average price in a region and above $250/MWh or was below </w:t>
      </w:r>
      <w:r w:rsidRPr="002D23B9">
        <w:noBreakHyphen/>
        <w:t xml:space="preserve">$100/MWh. </w:t>
      </w:r>
    </w:p>
    <w:p w:rsidR="008F4C10" w:rsidRDefault="0004466C" w:rsidP="0004466C">
      <w:pPr>
        <w:spacing w:after="240"/>
        <w:rPr>
          <w:lang w:eastAsia="en-US"/>
        </w:rPr>
      </w:pPr>
      <w:r>
        <w:rPr>
          <w:lang w:eastAsia="en-US"/>
        </w:rPr>
        <w:t xml:space="preserve">There were ten occasions where the spot price in New South Wales was greater than three times the New South Wales weekly average price of $102/MWh and above $250/MWh. </w:t>
      </w:r>
    </w:p>
    <w:p w:rsidR="008F4C10" w:rsidRDefault="0004466C" w:rsidP="0004466C">
      <w:pPr>
        <w:spacing w:after="240"/>
        <w:rPr>
          <w:lang w:eastAsia="en-US"/>
        </w:rPr>
      </w:pPr>
      <w:r>
        <w:rPr>
          <w:lang w:eastAsia="en-US"/>
        </w:rPr>
        <w:t xml:space="preserve">There were four occasions where the spot price in Victoria was greater than three times the Victoria weekly average price of $75/MWh and above $250/MWh, and one occasion where the spot price was below </w:t>
      </w:r>
      <w:r>
        <w:rPr>
          <w:lang w:eastAsia="en-US"/>
        </w:rPr>
        <w:noBreakHyphen/>
        <w:t xml:space="preserve">$100/MWh. </w:t>
      </w:r>
    </w:p>
    <w:p w:rsidR="0004466C" w:rsidRDefault="0004466C" w:rsidP="0004466C">
      <w:pPr>
        <w:spacing w:after="240"/>
        <w:rPr>
          <w:lang w:eastAsia="en-US"/>
        </w:rPr>
      </w:pPr>
      <w:r>
        <w:rPr>
          <w:lang w:eastAsia="en-US"/>
        </w:rPr>
        <w:t>There were ten occasions where the spot price in South Australia was greater than three times the South Australia weekly average price of $244/MWh and above $250/MWh.</w:t>
      </w:r>
    </w:p>
    <w:p w:rsidR="008F4C10" w:rsidRDefault="008F4C10" w:rsidP="00B60B0D">
      <w:pPr>
        <w:pStyle w:val="AERtabletitle"/>
      </w:pPr>
      <w:r>
        <w:t>New South Wales</w:t>
      </w:r>
    </w:p>
    <w:p w:rsidR="00B60B0D" w:rsidRPr="00470218" w:rsidRDefault="00B60B0D" w:rsidP="00B60B0D">
      <w:pPr>
        <w:pStyle w:val="AERtabletitle"/>
      </w:pPr>
      <w:r>
        <w:t>Table 3</w:t>
      </w:r>
      <w:r w:rsidRPr="00470218">
        <w:t xml:space="preserve">: </w:t>
      </w:r>
      <w:r>
        <w:t>New South Wales</w:t>
      </w:r>
      <w:r w:rsidRPr="00470218">
        <w:t>,</w:t>
      </w:r>
      <w:r>
        <w:t xml:space="preserve"> Friday</w:t>
      </w:r>
      <w:r w:rsidRPr="00470218">
        <w:t> </w:t>
      </w:r>
      <w:r>
        <w:t>20 December</w:t>
      </w:r>
      <w:r w:rsidR="003F2B11">
        <w:t xml:space="preserve"> 12.30 PM to 2.30 PM</w:t>
      </w:r>
      <w:r>
        <w:tab/>
      </w:r>
    </w:p>
    <w:tbl>
      <w:tblPr>
        <w:tblStyle w:val="MediumShading1-Accent11"/>
        <w:tblW w:w="932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59"/>
        <w:gridCol w:w="857"/>
        <w:gridCol w:w="938"/>
        <w:gridCol w:w="938"/>
        <w:gridCol w:w="938"/>
        <w:gridCol w:w="939"/>
        <w:gridCol w:w="938"/>
        <w:gridCol w:w="938"/>
        <w:gridCol w:w="938"/>
        <w:gridCol w:w="939"/>
      </w:tblGrid>
      <w:tr w:rsidR="003A1800" w:rsidRPr="00EE375C" w:rsidTr="003F2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rPr>
                <w:b w:val="0"/>
                <w:bCs w:val="0"/>
                <w:color w:val="auto"/>
              </w:rPr>
            </w:pPr>
            <w:r>
              <w:t>Time</w:t>
            </w:r>
          </w:p>
        </w:tc>
        <w:tc>
          <w:tcPr>
            <w:tcW w:w="2733"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Price ($/MWh)</w:t>
            </w:r>
          </w:p>
        </w:tc>
        <w:tc>
          <w:tcPr>
            <w:tcW w:w="2815"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Demand (MW)</w:t>
            </w:r>
          </w:p>
        </w:tc>
        <w:tc>
          <w:tcPr>
            <w:tcW w:w="2815"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Availability (MW)</w:t>
            </w:r>
          </w:p>
        </w:tc>
      </w:tr>
      <w:tr w:rsidR="003A1800" w:rsidRPr="00EE375C" w:rsidTr="003F2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rPr>
                <w:b w:val="0"/>
                <w:bCs w:val="0"/>
                <w:color w:val="auto"/>
              </w:rPr>
            </w:pPr>
          </w:p>
        </w:tc>
        <w:tc>
          <w:tcPr>
            <w:tcW w:w="857"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Actual</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4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12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Actual</w:t>
            </w:r>
          </w:p>
        </w:tc>
        <w:tc>
          <w:tcPr>
            <w:tcW w:w="939"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4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E375C">
              <w:t>12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Actual</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4 hr forecast</w:t>
            </w:r>
          </w:p>
        </w:tc>
        <w:tc>
          <w:tcPr>
            <w:tcW w:w="939"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E375C">
              <w:t>12 hr forecast</w:t>
            </w:r>
          </w:p>
        </w:tc>
      </w:tr>
      <w:tr w:rsidR="003A1800" w:rsidTr="003F2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shd w:val="clear" w:color="auto" w:fill="DDD9C3"/>
          </w:tcPr>
          <w:p w:rsidR="003A1800" w:rsidRDefault="003F2B11" w:rsidP="008F4C10">
            <w:pPr>
              <w:pStyle w:val="AERtabletext-numbers"/>
              <w:rPr>
                <w:rFonts w:cs="Gautami"/>
                <w:b w:val="0"/>
                <w:bCs w:val="0"/>
                <w:szCs w:val="16"/>
              </w:rPr>
            </w:pPr>
            <w:r>
              <w:rPr>
                <w:rFonts w:cs="Gautami"/>
                <w:b w:val="0"/>
                <w:bCs w:val="0"/>
                <w:szCs w:val="16"/>
              </w:rPr>
              <w:t>12.</w:t>
            </w:r>
            <w:r w:rsidR="003A1800">
              <w:rPr>
                <w:rFonts w:cs="Gautami"/>
                <w:b w:val="0"/>
                <w:bCs w:val="0"/>
                <w:szCs w:val="16"/>
              </w:rPr>
              <w:t>30 PM</w:t>
            </w:r>
          </w:p>
        </w:tc>
        <w:tc>
          <w:tcPr>
            <w:tcW w:w="857"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316.5</w:t>
            </w:r>
            <w:r>
              <w:rPr>
                <w:rFonts w:cs="Gautami"/>
                <w:color w:val="000000"/>
                <w:sz w:val="16"/>
                <w:szCs w:val="16"/>
              </w:rPr>
              <w:t>0</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55.36</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55.36</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10 977</w:t>
            </w:r>
          </w:p>
        </w:tc>
        <w:tc>
          <w:tcPr>
            <w:tcW w:w="939"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10 287</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10 766</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12 254</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13 558</w:t>
            </w:r>
          </w:p>
        </w:tc>
        <w:tc>
          <w:tcPr>
            <w:tcW w:w="939" w:type="dxa"/>
            <w:tcBorders>
              <w:lef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13 575</w:t>
            </w:r>
          </w:p>
        </w:tc>
      </w:tr>
      <w:tr w:rsidR="003A1800" w:rsidTr="003F2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tcPr>
          <w:p w:rsidR="003A1800" w:rsidRPr="003A1800" w:rsidRDefault="003A1800" w:rsidP="008F4C10">
            <w:pPr>
              <w:pStyle w:val="AERtabletext-numbers"/>
              <w:rPr>
                <w:rFonts w:cs="Gautami"/>
                <w:b w:val="0"/>
                <w:bCs w:val="0"/>
                <w:szCs w:val="16"/>
              </w:rPr>
            </w:pPr>
            <w:r>
              <w:rPr>
                <w:rFonts w:cs="Gautami"/>
                <w:b w:val="0"/>
                <w:bCs w:val="0"/>
                <w:szCs w:val="16"/>
              </w:rPr>
              <w:t>1</w:t>
            </w:r>
            <w:r w:rsidR="003F2B11">
              <w:rPr>
                <w:rFonts w:cs="Gautami"/>
                <w:b w:val="0"/>
                <w:bCs w:val="0"/>
                <w:szCs w:val="16"/>
              </w:rPr>
              <w:t>.</w:t>
            </w:r>
            <w:r w:rsidRPr="003A1800">
              <w:rPr>
                <w:rFonts w:cs="Gautami"/>
                <w:b w:val="0"/>
                <w:bCs w:val="0"/>
                <w:szCs w:val="16"/>
              </w:rPr>
              <w:t>00 PM</w:t>
            </w:r>
          </w:p>
        </w:tc>
        <w:tc>
          <w:tcPr>
            <w:tcW w:w="857"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337.83</w:t>
            </w:r>
          </w:p>
        </w:tc>
        <w:tc>
          <w:tcPr>
            <w:tcW w:w="938"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55.36</w:t>
            </w:r>
          </w:p>
        </w:tc>
        <w:tc>
          <w:tcPr>
            <w:tcW w:w="938"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55.66</w:t>
            </w:r>
          </w:p>
        </w:tc>
        <w:tc>
          <w:tcPr>
            <w:tcW w:w="938"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11 139</w:t>
            </w:r>
          </w:p>
        </w:tc>
        <w:tc>
          <w:tcPr>
            <w:tcW w:w="939"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10 448</w:t>
            </w:r>
          </w:p>
        </w:tc>
        <w:tc>
          <w:tcPr>
            <w:tcW w:w="938"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10 923</w:t>
            </w:r>
          </w:p>
        </w:tc>
        <w:tc>
          <w:tcPr>
            <w:tcW w:w="938"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12 269</w:t>
            </w:r>
          </w:p>
        </w:tc>
        <w:tc>
          <w:tcPr>
            <w:tcW w:w="938"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13 327</w:t>
            </w:r>
          </w:p>
        </w:tc>
        <w:tc>
          <w:tcPr>
            <w:tcW w:w="939" w:type="dxa"/>
            <w:tcBorders>
              <w:lef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13 574</w:t>
            </w:r>
          </w:p>
        </w:tc>
      </w:tr>
      <w:tr w:rsidR="003A1800" w:rsidTr="003F2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shd w:val="clear" w:color="auto" w:fill="DDD9C3"/>
          </w:tcPr>
          <w:p w:rsidR="003A1800" w:rsidRPr="003A1800" w:rsidRDefault="003A1800" w:rsidP="008F4C10">
            <w:pPr>
              <w:pStyle w:val="AERtabletext-numbers"/>
              <w:rPr>
                <w:rFonts w:cs="Gautami"/>
                <w:b w:val="0"/>
                <w:bCs w:val="0"/>
                <w:szCs w:val="16"/>
              </w:rPr>
            </w:pPr>
            <w:r>
              <w:rPr>
                <w:rFonts w:cs="Gautami"/>
                <w:b w:val="0"/>
                <w:bCs w:val="0"/>
                <w:szCs w:val="16"/>
              </w:rPr>
              <w:t>1</w:t>
            </w:r>
            <w:r w:rsidR="003F2B11">
              <w:rPr>
                <w:rFonts w:cs="Gautami"/>
                <w:b w:val="0"/>
                <w:bCs w:val="0"/>
                <w:szCs w:val="16"/>
              </w:rPr>
              <w:t>.</w:t>
            </w:r>
            <w:r w:rsidRPr="003A1800">
              <w:rPr>
                <w:rFonts w:cs="Gautami"/>
                <w:b w:val="0"/>
                <w:bCs w:val="0"/>
                <w:szCs w:val="16"/>
              </w:rPr>
              <w:t>30 PM</w:t>
            </w:r>
          </w:p>
        </w:tc>
        <w:tc>
          <w:tcPr>
            <w:tcW w:w="857"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7696.44</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57.94</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55.36</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11 296</w:t>
            </w:r>
          </w:p>
        </w:tc>
        <w:tc>
          <w:tcPr>
            <w:tcW w:w="939"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10 835</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11 018</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12 255</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13 153</w:t>
            </w:r>
          </w:p>
        </w:tc>
        <w:tc>
          <w:tcPr>
            <w:tcW w:w="939" w:type="dxa"/>
            <w:tcBorders>
              <w:lef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13 645</w:t>
            </w:r>
          </w:p>
        </w:tc>
      </w:tr>
      <w:tr w:rsidR="003A1800" w:rsidTr="003F2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tcPr>
          <w:p w:rsidR="003A1800" w:rsidRPr="003A1800" w:rsidRDefault="003A1800" w:rsidP="008F4C10">
            <w:pPr>
              <w:pStyle w:val="AERtabletext-numbers"/>
              <w:rPr>
                <w:b w:val="0"/>
              </w:rPr>
            </w:pPr>
            <w:r>
              <w:rPr>
                <w:rFonts w:cs="Gautami"/>
                <w:b w:val="0"/>
                <w:bCs w:val="0"/>
                <w:szCs w:val="16"/>
              </w:rPr>
              <w:t>2</w:t>
            </w:r>
            <w:r w:rsidR="003F2B11">
              <w:rPr>
                <w:rFonts w:cs="Gautami"/>
                <w:b w:val="0"/>
                <w:bCs w:val="0"/>
                <w:szCs w:val="16"/>
              </w:rPr>
              <w:t>.</w:t>
            </w:r>
            <w:r>
              <w:rPr>
                <w:rFonts w:cs="Gautami"/>
                <w:b w:val="0"/>
                <w:bCs w:val="0"/>
                <w:szCs w:val="16"/>
              </w:rPr>
              <w:t>0</w:t>
            </w:r>
            <w:r w:rsidRPr="003A1800">
              <w:rPr>
                <w:rFonts w:cs="Gautami"/>
                <w:b w:val="0"/>
                <w:bCs w:val="0"/>
                <w:szCs w:val="16"/>
              </w:rPr>
              <w:t>0 PM</w:t>
            </w:r>
          </w:p>
        </w:tc>
        <w:tc>
          <w:tcPr>
            <w:tcW w:w="857"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2457.95</w:t>
            </w:r>
          </w:p>
        </w:tc>
        <w:tc>
          <w:tcPr>
            <w:tcW w:w="938"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62.1</w:t>
            </w:r>
            <w:r>
              <w:rPr>
                <w:rFonts w:cs="Gautami"/>
                <w:color w:val="000000"/>
                <w:sz w:val="16"/>
                <w:szCs w:val="16"/>
              </w:rPr>
              <w:t>0</w:t>
            </w:r>
          </w:p>
        </w:tc>
        <w:tc>
          <w:tcPr>
            <w:tcW w:w="938"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55.66</w:t>
            </w:r>
          </w:p>
        </w:tc>
        <w:tc>
          <w:tcPr>
            <w:tcW w:w="938"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11 501</w:t>
            </w:r>
          </w:p>
        </w:tc>
        <w:tc>
          <w:tcPr>
            <w:tcW w:w="939"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10 968</w:t>
            </w:r>
          </w:p>
        </w:tc>
        <w:tc>
          <w:tcPr>
            <w:tcW w:w="938"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11 115</w:t>
            </w:r>
          </w:p>
        </w:tc>
        <w:tc>
          <w:tcPr>
            <w:tcW w:w="938"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12 240</w:t>
            </w:r>
          </w:p>
        </w:tc>
        <w:tc>
          <w:tcPr>
            <w:tcW w:w="938" w:type="dxa"/>
            <w:tcBorders>
              <w:left w:val="none" w:sz="0" w:space="0" w:color="auto"/>
              <w:righ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12 372</w:t>
            </w:r>
          </w:p>
        </w:tc>
        <w:tc>
          <w:tcPr>
            <w:tcW w:w="939" w:type="dxa"/>
            <w:tcBorders>
              <w:left w:val="none" w:sz="0" w:space="0" w:color="auto"/>
            </w:tcBorders>
            <w:vAlign w:val="center"/>
          </w:tcPr>
          <w:p w:rsidR="003A1800" w:rsidRPr="00B60B0D"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B60B0D">
              <w:rPr>
                <w:rFonts w:cs="Gautami"/>
                <w:color w:val="000000"/>
                <w:sz w:val="16"/>
                <w:szCs w:val="16"/>
              </w:rPr>
              <w:t>13 641</w:t>
            </w:r>
          </w:p>
        </w:tc>
      </w:tr>
      <w:tr w:rsidR="003A1800" w:rsidTr="003F2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none" w:sz="0" w:space="0" w:color="auto"/>
            </w:tcBorders>
            <w:shd w:val="clear" w:color="auto" w:fill="DDD9C3"/>
          </w:tcPr>
          <w:p w:rsidR="003A1800" w:rsidRPr="003A1800" w:rsidRDefault="003F2B11" w:rsidP="008F4C10">
            <w:pPr>
              <w:pStyle w:val="AERtabletext-numbers"/>
              <w:rPr>
                <w:b w:val="0"/>
                <w:bCs w:val="0"/>
              </w:rPr>
            </w:pPr>
            <w:r>
              <w:rPr>
                <w:b w:val="0"/>
              </w:rPr>
              <w:t>2.</w:t>
            </w:r>
            <w:r w:rsidR="003A1800" w:rsidRPr="003A1800">
              <w:rPr>
                <w:b w:val="0"/>
              </w:rPr>
              <w:t>30 PM</w:t>
            </w:r>
          </w:p>
        </w:tc>
        <w:tc>
          <w:tcPr>
            <w:tcW w:w="857"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1270.83</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62.89</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56.75</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11 635</w:t>
            </w:r>
          </w:p>
        </w:tc>
        <w:tc>
          <w:tcPr>
            <w:tcW w:w="939"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11 019</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11 173</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12 333</w:t>
            </w:r>
          </w:p>
        </w:tc>
        <w:tc>
          <w:tcPr>
            <w:tcW w:w="938" w:type="dxa"/>
            <w:tcBorders>
              <w:left w:val="none" w:sz="0" w:space="0" w:color="auto"/>
              <w:righ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12 658</w:t>
            </w:r>
          </w:p>
        </w:tc>
        <w:tc>
          <w:tcPr>
            <w:tcW w:w="939" w:type="dxa"/>
            <w:tcBorders>
              <w:left w:val="none" w:sz="0" w:space="0" w:color="auto"/>
            </w:tcBorders>
            <w:shd w:val="clear" w:color="auto" w:fill="DDD9C3"/>
            <w:vAlign w:val="center"/>
          </w:tcPr>
          <w:p w:rsidR="003A1800" w:rsidRPr="00B60B0D"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B60B0D">
              <w:rPr>
                <w:rFonts w:cs="Gautami"/>
                <w:color w:val="000000"/>
                <w:sz w:val="16"/>
                <w:szCs w:val="16"/>
              </w:rPr>
              <w:t>13 932</w:t>
            </w:r>
          </w:p>
        </w:tc>
      </w:tr>
    </w:tbl>
    <w:p w:rsidR="003A1800" w:rsidRDefault="003A1800" w:rsidP="0004466C">
      <w:pPr>
        <w:rPr>
          <w:lang w:eastAsia="en-US"/>
        </w:rPr>
      </w:pPr>
    </w:p>
    <w:p w:rsidR="00BA7A0E" w:rsidRDefault="00BA7A0E" w:rsidP="00557095">
      <w:pPr>
        <w:rPr>
          <w:lang w:eastAsia="en-US"/>
        </w:rPr>
      </w:pPr>
    </w:p>
    <w:p w:rsidR="00557095" w:rsidRDefault="00557095" w:rsidP="00557095">
      <w:pPr>
        <w:rPr>
          <w:lang w:eastAsia="en-US"/>
        </w:rPr>
      </w:pPr>
      <w:r w:rsidRPr="00557095">
        <w:rPr>
          <w:lang w:eastAsia="en-US"/>
        </w:rPr>
        <w:t>In accordance with clause 3.13.7 of the Electricity Rules, the AER will issue a separate report</w:t>
      </w:r>
      <w:r>
        <w:rPr>
          <w:lang w:eastAsia="en-US"/>
        </w:rPr>
        <w:t xml:space="preserve"> </w:t>
      </w:r>
      <w:r w:rsidRPr="00557095">
        <w:rPr>
          <w:lang w:eastAsia="en-US"/>
        </w:rPr>
        <w:t>into the circumstances that led to the spot price exceeding $5000/MWh. The report will also</w:t>
      </w:r>
      <w:r>
        <w:rPr>
          <w:lang w:eastAsia="en-US"/>
        </w:rPr>
        <w:t xml:space="preserve"> </w:t>
      </w:r>
      <w:r w:rsidRPr="00557095">
        <w:rPr>
          <w:lang w:eastAsia="en-US"/>
        </w:rPr>
        <w:t xml:space="preserve">include </w:t>
      </w:r>
      <w:r w:rsidR="00C2411A">
        <w:rPr>
          <w:lang w:eastAsia="en-US"/>
        </w:rPr>
        <w:t xml:space="preserve">analysis of the </w:t>
      </w:r>
      <w:r w:rsidRPr="00557095">
        <w:rPr>
          <w:lang w:eastAsia="en-US"/>
        </w:rPr>
        <w:t xml:space="preserve">spot prices </w:t>
      </w:r>
      <w:r w:rsidR="00C2411A">
        <w:rPr>
          <w:lang w:eastAsia="en-US"/>
        </w:rPr>
        <w:t>outlined above</w:t>
      </w:r>
      <w:r w:rsidRPr="00557095">
        <w:rPr>
          <w:lang w:eastAsia="en-US"/>
        </w:rPr>
        <w:t>.</w:t>
      </w:r>
    </w:p>
    <w:p w:rsidR="008F4C10" w:rsidRDefault="008F4C10" w:rsidP="00557095">
      <w:pPr>
        <w:rPr>
          <w:lang w:eastAsia="en-US"/>
        </w:rPr>
      </w:pPr>
    </w:p>
    <w:p w:rsidR="008F4C10" w:rsidRPr="008F4C10" w:rsidRDefault="008F4C10" w:rsidP="00557095">
      <w:pPr>
        <w:rPr>
          <w:b/>
          <w:lang w:eastAsia="en-US"/>
        </w:rPr>
      </w:pPr>
      <w:r w:rsidRPr="008F4C10">
        <w:rPr>
          <w:b/>
          <w:lang w:eastAsia="en-US"/>
        </w:rPr>
        <w:t>Victoria</w:t>
      </w:r>
    </w:p>
    <w:p w:rsidR="00557095" w:rsidRPr="00470218" w:rsidRDefault="00557095" w:rsidP="00557095">
      <w:pPr>
        <w:pStyle w:val="AERtabletitle"/>
      </w:pPr>
      <w:r>
        <w:t>Table 4</w:t>
      </w:r>
      <w:r w:rsidRPr="00470218">
        <w:t xml:space="preserve">: </w:t>
      </w:r>
      <w:r>
        <w:t>Victoria</w:t>
      </w:r>
      <w:r w:rsidRPr="00470218">
        <w:t>,</w:t>
      </w:r>
      <w:r>
        <w:t xml:space="preserve"> Thursday</w:t>
      </w:r>
      <w:r w:rsidRPr="00470218">
        <w:t> </w:t>
      </w:r>
      <w:r>
        <w:t>19 December</w:t>
      </w:r>
      <w:r w:rsidR="003F2B11">
        <w:t xml:space="preserve"> 4.00 PM to 6.00 PM</w:t>
      </w:r>
      <w:r>
        <w:tab/>
      </w:r>
    </w:p>
    <w:tbl>
      <w:tblPr>
        <w:tblStyle w:val="MediumShading1-Accent11"/>
        <w:tblW w:w="932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78"/>
        <w:gridCol w:w="938"/>
        <w:gridCol w:w="938"/>
        <w:gridCol w:w="938"/>
        <w:gridCol w:w="938"/>
        <w:gridCol w:w="939"/>
        <w:gridCol w:w="938"/>
        <w:gridCol w:w="938"/>
        <w:gridCol w:w="938"/>
        <w:gridCol w:w="939"/>
      </w:tblGrid>
      <w:tr w:rsidR="003A1800" w:rsidRPr="00EE375C" w:rsidTr="003F2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rPr>
                <w:b w:val="0"/>
                <w:bCs w:val="0"/>
                <w:color w:val="auto"/>
              </w:rPr>
            </w:pPr>
            <w:r>
              <w:t>Time</w:t>
            </w:r>
          </w:p>
        </w:tc>
        <w:tc>
          <w:tcPr>
            <w:tcW w:w="2814"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Price ($/MWh)</w:t>
            </w:r>
          </w:p>
        </w:tc>
        <w:tc>
          <w:tcPr>
            <w:tcW w:w="2815"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Demand (MW)</w:t>
            </w:r>
          </w:p>
        </w:tc>
        <w:tc>
          <w:tcPr>
            <w:tcW w:w="2815"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Availability (MW)</w:t>
            </w:r>
          </w:p>
        </w:tc>
      </w:tr>
      <w:tr w:rsidR="003A1800" w:rsidRPr="00EE375C" w:rsidTr="003F2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rPr>
                <w:b w:val="0"/>
                <w:bCs w:val="0"/>
                <w:color w:val="auto"/>
              </w:rPr>
            </w:pP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Actual</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4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12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Actual</w:t>
            </w:r>
          </w:p>
        </w:tc>
        <w:tc>
          <w:tcPr>
            <w:tcW w:w="939"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4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E375C">
              <w:t>12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Actual</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4 hr forecast</w:t>
            </w:r>
          </w:p>
        </w:tc>
        <w:tc>
          <w:tcPr>
            <w:tcW w:w="939"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E375C">
              <w:t>12 hr forecast</w:t>
            </w:r>
          </w:p>
        </w:tc>
      </w:tr>
      <w:tr w:rsidR="003A1800" w:rsidTr="003F2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shd w:val="clear" w:color="auto" w:fill="DDD9C3"/>
          </w:tcPr>
          <w:p w:rsidR="003A1800" w:rsidRPr="003A1800" w:rsidRDefault="003F2B11" w:rsidP="008F4C10">
            <w:pPr>
              <w:pStyle w:val="AERtabletext-numbers"/>
              <w:rPr>
                <w:rFonts w:cs="Gautami"/>
                <w:b w:val="0"/>
                <w:bCs w:val="0"/>
                <w:szCs w:val="16"/>
              </w:rPr>
            </w:pPr>
            <w:r>
              <w:rPr>
                <w:rFonts w:cs="Gautami"/>
                <w:b w:val="0"/>
                <w:bCs w:val="0"/>
                <w:szCs w:val="16"/>
              </w:rPr>
              <w:t>4.</w:t>
            </w:r>
            <w:r w:rsidR="003A1800" w:rsidRPr="003A1800">
              <w:rPr>
                <w:rFonts w:cs="Gautami"/>
                <w:b w:val="0"/>
                <w:bCs w:val="0"/>
                <w:szCs w:val="16"/>
              </w:rPr>
              <w:t>00 PM</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789.86</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280.75</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52.91</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9008</w:t>
            </w:r>
          </w:p>
        </w:tc>
        <w:tc>
          <w:tcPr>
            <w:tcW w:w="939"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9063</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8450</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10 584</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10 518</w:t>
            </w:r>
          </w:p>
        </w:tc>
        <w:tc>
          <w:tcPr>
            <w:tcW w:w="939" w:type="dxa"/>
            <w:tcBorders>
              <w:lef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10 907</w:t>
            </w:r>
          </w:p>
        </w:tc>
      </w:tr>
      <w:tr w:rsidR="003A1800" w:rsidTr="003F2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tcPr>
          <w:p w:rsidR="003A1800" w:rsidRPr="003A1800" w:rsidRDefault="003F2B11" w:rsidP="008F4C10">
            <w:pPr>
              <w:pStyle w:val="AERtabletext-numbers"/>
              <w:rPr>
                <w:rFonts w:cs="Gautami"/>
                <w:b w:val="0"/>
                <w:bCs w:val="0"/>
                <w:szCs w:val="16"/>
              </w:rPr>
            </w:pPr>
            <w:r>
              <w:rPr>
                <w:rFonts w:cs="Gautami"/>
                <w:b w:val="0"/>
                <w:bCs w:val="0"/>
                <w:szCs w:val="16"/>
              </w:rPr>
              <w:t>4.</w:t>
            </w:r>
            <w:r w:rsidR="003A1800" w:rsidRPr="003A1800">
              <w:rPr>
                <w:rFonts w:cs="Gautami"/>
                <w:b w:val="0"/>
                <w:bCs w:val="0"/>
                <w:szCs w:val="16"/>
              </w:rPr>
              <w:t>30 PM</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1474.83</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275.94</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52.91</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8978</w:t>
            </w:r>
          </w:p>
        </w:tc>
        <w:tc>
          <w:tcPr>
            <w:tcW w:w="939"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9106</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8504</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10 490</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10 527</w:t>
            </w:r>
          </w:p>
        </w:tc>
        <w:tc>
          <w:tcPr>
            <w:tcW w:w="939" w:type="dxa"/>
            <w:tcBorders>
              <w:lef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10 690</w:t>
            </w:r>
          </w:p>
        </w:tc>
      </w:tr>
      <w:tr w:rsidR="003A1800" w:rsidTr="003F2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shd w:val="clear" w:color="auto" w:fill="DDD9C3"/>
          </w:tcPr>
          <w:p w:rsidR="003A1800" w:rsidRPr="003A1800" w:rsidRDefault="003F2B11" w:rsidP="008F4C10">
            <w:pPr>
              <w:pStyle w:val="AERtabletext-numbers"/>
              <w:rPr>
                <w:b w:val="0"/>
              </w:rPr>
            </w:pPr>
            <w:r>
              <w:rPr>
                <w:rFonts w:cs="Gautami"/>
                <w:b w:val="0"/>
                <w:bCs w:val="0"/>
                <w:szCs w:val="16"/>
              </w:rPr>
              <w:t>5.</w:t>
            </w:r>
            <w:r w:rsidR="003A1800" w:rsidRPr="003A1800">
              <w:rPr>
                <w:rFonts w:cs="Gautami"/>
                <w:b w:val="0"/>
                <w:bCs w:val="0"/>
                <w:szCs w:val="16"/>
              </w:rPr>
              <w:t>30 PM</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3667.01</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50.29</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61.83</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8765</w:t>
            </w:r>
          </w:p>
        </w:tc>
        <w:tc>
          <w:tcPr>
            <w:tcW w:w="939"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8894</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8247</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10 441</w:t>
            </w:r>
          </w:p>
        </w:tc>
        <w:tc>
          <w:tcPr>
            <w:tcW w:w="938" w:type="dxa"/>
            <w:tcBorders>
              <w:left w:val="none" w:sz="0" w:space="0" w:color="auto"/>
              <w:righ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10 530</w:t>
            </w:r>
          </w:p>
        </w:tc>
        <w:tc>
          <w:tcPr>
            <w:tcW w:w="939" w:type="dxa"/>
            <w:tcBorders>
              <w:left w:val="none" w:sz="0" w:space="0" w:color="auto"/>
            </w:tcBorders>
            <w:shd w:val="clear" w:color="auto" w:fill="DDD9C3"/>
            <w:vAlign w:val="center"/>
          </w:tcPr>
          <w:p w:rsidR="003A1800" w:rsidRPr="00557095"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557095">
              <w:rPr>
                <w:rFonts w:cs="Gautami"/>
                <w:color w:val="000000"/>
                <w:sz w:val="16"/>
                <w:szCs w:val="16"/>
              </w:rPr>
              <w:t>10 333</w:t>
            </w:r>
          </w:p>
        </w:tc>
      </w:tr>
      <w:tr w:rsidR="003A1800" w:rsidTr="003F2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tcPr>
          <w:p w:rsidR="003A1800" w:rsidRPr="003A1800" w:rsidRDefault="003A1800" w:rsidP="008F4C10">
            <w:pPr>
              <w:pStyle w:val="AERtabletext-numbers"/>
              <w:rPr>
                <w:b w:val="0"/>
                <w:bCs w:val="0"/>
              </w:rPr>
            </w:pPr>
            <w:r w:rsidRPr="003A1800">
              <w:rPr>
                <w:b w:val="0"/>
              </w:rPr>
              <w:t>6</w:t>
            </w:r>
            <w:r w:rsidR="003F2B11">
              <w:rPr>
                <w:b w:val="0"/>
              </w:rPr>
              <w:t>.</w:t>
            </w:r>
            <w:r w:rsidRPr="003A1800">
              <w:rPr>
                <w:b w:val="0"/>
              </w:rPr>
              <w:t>00 PM</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467.74</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50.29</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61.6</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8566</w:t>
            </w:r>
          </w:p>
        </w:tc>
        <w:tc>
          <w:tcPr>
            <w:tcW w:w="939"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8651</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8094</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10 424</w:t>
            </w:r>
          </w:p>
        </w:tc>
        <w:tc>
          <w:tcPr>
            <w:tcW w:w="938" w:type="dxa"/>
            <w:tcBorders>
              <w:left w:val="none" w:sz="0" w:space="0" w:color="auto"/>
              <w:righ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10 558</w:t>
            </w:r>
          </w:p>
        </w:tc>
        <w:tc>
          <w:tcPr>
            <w:tcW w:w="939" w:type="dxa"/>
            <w:tcBorders>
              <w:left w:val="none" w:sz="0" w:space="0" w:color="auto"/>
            </w:tcBorders>
            <w:vAlign w:val="center"/>
          </w:tcPr>
          <w:p w:rsidR="003A1800" w:rsidRPr="00557095" w:rsidRDefault="003A1800" w:rsidP="008F4C10">
            <w:pPr>
              <w:spacing w:line="240" w:lineRule="auto"/>
              <w:jc w:val="center"/>
              <w:cnfStyle w:val="000000010000" w:firstRow="0" w:lastRow="0" w:firstColumn="0" w:lastColumn="0" w:oddVBand="0" w:evenVBand="0" w:oddHBand="0" w:evenHBand="1" w:firstRowFirstColumn="0" w:firstRowLastColumn="0" w:lastRowFirstColumn="0" w:lastRowLastColumn="0"/>
              <w:rPr>
                <w:rFonts w:cs="Gautami"/>
                <w:color w:val="000000"/>
                <w:sz w:val="16"/>
                <w:szCs w:val="16"/>
              </w:rPr>
            </w:pPr>
            <w:r w:rsidRPr="00557095">
              <w:rPr>
                <w:rFonts w:cs="Gautami"/>
                <w:color w:val="000000"/>
                <w:sz w:val="16"/>
                <w:szCs w:val="16"/>
              </w:rPr>
              <w:t>10 362</w:t>
            </w:r>
          </w:p>
        </w:tc>
      </w:tr>
    </w:tbl>
    <w:p w:rsidR="00BA7A0E" w:rsidRDefault="00BA7A0E" w:rsidP="001924C4">
      <w:pPr>
        <w:spacing w:before="100" w:beforeAutospacing="1" w:after="100" w:afterAutospacing="1"/>
        <w:rPr>
          <w:lang w:eastAsia="en-US"/>
        </w:rPr>
      </w:pPr>
    </w:p>
    <w:p w:rsidR="005B3F6B" w:rsidRDefault="005B3F6B" w:rsidP="001924C4">
      <w:pPr>
        <w:spacing w:before="100" w:beforeAutospacing="1" w:after="100" w:afterAutospacing="1"/>
        <w:rPr>
          <w:lang w:eastAsia="en-US"/>
        </w:rPr>
      </w:pPr>
      <w:r>
        <w:rPr>
          <w:lang w:eastAsia="en-US"/>
        </w:rPr>
        <w:t>This was the first high demand day of the 2013/14 summer and demand was almost 700 MW higher than the previous which occurred on 2 December 2013.</w:t>
      </w:r>
    </w:p>
    <w:p w:rsidR="000132AC" w:rsidRPr="000132AC" w:rsidRDefault="005B3F6B" w:rsidP="001924C4">
      <w:pPr>
        <w:spacing w:before="100" w:beforeAutospacing="1" w:after="100" w:afterAutospacing="1"/>
        <w:rPr>
          <w:lang w:eastAsia="en-US"/>
        </w:rPr>
      </w:pPr>
      <w:r>
        <w:rPr>
          <w:lang w:eastAsia="en-US"/>
        </w:rPr>
        <w:t>Actual d</w:t>
      </w:r>
      <w:r w:rsidR="000132AC" w:rsidRPr="000132AC">
        <w:rPr>
          <w:lang w:eastAsia="en-US"/>
        </w:rPr>
        <w:t xml:space="preserve">emand </w:t>
      </w:r>
      <w:r>
        <w:rPr>
          <w:lang w:eastAsia="en-US"/>
        </w:rPr>
        <w:t xml:space="preserve">was relatively close to the four hours ahead forecast but was relatively consistently more than </w:t>
      </w:r>
      <w:r w:rsidR="000132AC" w:rsidRPr="000132AC">
        <w:rPr>
          <w:lang w:eastAsia="en-US"/>
        </w:rPr>
        <w:t>5</w:t>
      </w:r>
      <w:r>
        <w:rPr>
          <w:lang w:eastAsia="en-US"/>
        </w:rPr>
        <w:t>50</w:t>
      </w:r>
      <w:r w:rsidR="000132AC" w:rsidRPr="000132AC">
        <w:rPr>
          <w:lang w:eastAsia="en-US"/>
        </w:rPr>
        <w:t xml:space="preserve"> MW above </w:t>
      </w:r>
      <w:r>
        <w:rPr>
          <w:lang w:eastAsia="en-US"/>
        </w:rPr>
        <w:t xml:space="preserve">that forecast </w:t>
      </w:r>
      <w:r w:rsidR="00546E9D">
        <w:rPr>
          <w:lang w:eastAsia="en-US"/>
        </w:rPr>
        <w:t>12 hours ahead</w:t>
      </w:r>
      <w:r>
        <w:rPr>
          <w:lang w:eastAsia="en-US"/>
        </w:rPr>
        <w:t>.</w:t>
      </w:r>
      <w:r w:rsidR="00546E9D">
        <w:rPr>
          <w:lang w:eastAsia="en-US"/>
        </w:rPr>
        <w:t xml:space="preserve"> </w:t>
      </w:r>
      <w:r>
        <w:rPr>
          <w:lang w:eastAsia="en-US"/>
        </w:rPr>
        <w:t>A</w:t>
      </w:r>
      <w:r w:rsidR="000132AC" w:rsidRPr="000132AC">
        <w:rPr>
          <w:lang w:eastAsia="en-US"/>
        </w:rPr>
        <w:t xml:space="preserve">vailable capacity </w:t>
      </w:r>
      <w:r w:rsidRPr="000132AC">
        <w:rPr>
          <w:lang w:eastAsia="en-US"/>
        </w:rPr>
        <w:t>was up to 134 MW below forecast</w:t>
      </w:r>
      <w:r>
        <w:rPr>
          <w:lang w:eastAsia="en-US"/>
        </w:rPr>
        <w:t xml:space="preserve"> and </w:t>
      </w:r>
      <w:r w:rsidR="000132AC" w:rsidRPr="000132AC">
        <w:rPr>
          <w:lang w:eastAsia="en-US"/>
        </w:rPr>
        <w:t>up to 323 MW below that forecast twelve hours ahead</w:t>
      </w:r>
      <w:r>
        <w:rPr>
          <w:lang w:eastAsia="en-US"/>
        </w:rPr>
        <w:t>.</w:t>
      </w:r>
    </w:p>
    <w:p w:rsidR="00BF351C" w:rsidRPr="000132AC" w:rsidRDefault="00BF351C" w:rsidP="0086340B">
      <w:pPr>
        <w:spacing w:before="100" w:beforeAutospacing="1" w:after="100" w:afterAutospacing="1"/>
        <w:rPr>
          <w:lang w:eastAsia="en-US"/>
        </w:rPr>
      </w:pPr>
      <w:r>
        <w:rPr>
          <w:lang w:eastAsia="en-US"/>
        </w:rPr>
        <w:t xml:space="preserve">At 1.52 pm, effective from </w:t>
      </w:r>
      <w:r w:rsidR="002C5BBA">
        <w:rPr>
          <w:lang w:eastAsia="en-US"/>
        </w:rPr>
        <w:t>2.05</w:t>
      </w:r>
      <w:r>
        <w:rPr>
          <w:lang w:eastAsia="en-US"/>
        </w:rPr>
        <w:t xml:space="preserve"> pm, GDF Suez rebid 150 MW of </w:t>
      </w:r>
      <w:r w:rsidR="007773E8">
        <w:rPr>
          <w:lang w:eastAsia="en-US"/>
        </w:rPr>
        <w:t xml:space="preserve">available </w:t>
      </w:r>
      <w:r w:rsidR="00DD1469">
        <w:rPr>
          <w:lang w:eastAsia="en-US"/>
        </w:rPr>
        <w:t xml:space="preserve">capacity </w:t>
      </w:r>
      <w:r>
        <w:rPr>
          <w:lang w:eastAsia="en-US"/>
        </w:rPr>
        <w:t xml:space="preserve">at Hazelwood power station from prices below $50/MWh to above $12 6000/MWh. </w:t>
      </w:r>
      <w:r w:rsidR="00344A87">
        <w:rPr>
          <w:lang w:eastAsia="en-US"/>
        </w:rPr>
        <w:t>The reason given was “1351A chg in fcast – dec vic dem 5M 8525MW&lt;30MPD 8688MW”.</w:t>
      </w:r>
    </w:p>
    <w:p w:rsidR="00344A87" w:rsidRDefault="00344A87" w:rsidP="00DD1469">
      <w:pPr>
        <w:spacing w:before="100" w:beforeAutospacing="1" w:after="100" w:afterAutospacing="1"/>
        <w:rPr>
          <w:lang w:eastAsia="en-US"/>
        </w:rPr>
      </w:pPr>
      <w:r>
        <w:rPr>
          <w:lang w:eastAsia="en-US"/>
        </w:rPr>
        <w:t xml:space="preserve">At 2.46 pm, effective from </w:t>
      </w:r>
      <w:r w:rsidR="002C5BBA">
        <w:rPr>
          <w:lang w:eastAsia="en-US"/>
        </w:rPr>
        <w:t>2.55</w:t>
      </w:r>
      <w:r>
        <w:rPr>
          <w:lang w:eastAsia="en-US"/>
        </w:rPr>
        <w:t xml:space="preserve"> pm, Ecogen Energy rebid 100 MW of </w:t>
      </w:r>
      <w:r w:rsidR="007773E8">
        <w:rPr>
          <w:lang w:eastAsia="en-US"/>
        </w:rPr>
        <w:t xml:space="preserve">available </w:t>
      </w:r>
      <w:r>
        <w:rPr>
          <w:lang w:eastAsia="en-US"/>
        </w:rPr>
        <w:t xml:space="preserve">capacity at Newport power station from prices below $50/MWh to the </w:t>
      </w:r>
      <w:r w:rsidRPr="001B16CF">
        <w:rPr>
          <w:lang w:eastAsia="en-US"/>
        </w:rPr>
        <w:t>price cap</w:t>
      </w:r>
      <w:r>
        <w:rPr>
          <w:lang w:eastAsia="en-US"/>
        </w:rPr>
        <w:t>. The reason given was “</w:t>
      </w:r>
      <w:r w:rsidRPr="000132AC">
        <w:rPr>
          <w:lang w:eastAsia="en-US"/>
        </w:rPr>
        <w:t>1</w:t>
      </w:r>
      <w:r>
        <w:rPr>
          <w:lang w:eastAsia="en-US"/>
        </w:rPr>
        <w:t>4</w:t>
      </w:r>
      <w:r w:rsidRPr="000132AC">
        <w:rPr>
          <w:lang w:eastAsia="en-US"/>
        </w:rPr>
        <w:t>:</w:t>
      </w:r>
      <w:r>
        <w:rPr>
          <w:lang w:eastAsia="en-US"/>
        </w:rPr>
        <w:t>45</w:t>
      </w:r>
      <w:r w:rsidRPr="000132AC">
        <w:rPr>
          <w:lang w:eastAsia="en-US"/>
        </w:rPr>
        <w:t xml:space="preserve"> A band adj </w:t>
      </w:r>
      <w:r>
        <w:rPr>
          <w:lang w:eastAsia="en-US"/>
        </w:rPr>
        <w:t xml:space="preserve">for mat change in Vic price”. </w:t>
      </w:r>
    </w:p>
    <w:p w:rsidR="00344A87" w:rsidRDefault="00344A87" w:rsidP="00DD1469">
      <w:pPr>
        <w:spacing w:before="100" w:beforeAutospacing="1" w:after="100" w:afterAutospacing="1"/>
        <w:rPr>
          <w:lang w:eastAsia="en-US"/>
        </w:rPr>
      </w:pPr>
      <w:r>
        <w:rPr>
          <w:lang w:eastAsia="en-US"/>
        </w:rPr>
        <w:t xml:space="preserve">At 3.08 pm, effective from </w:t>
      </w:r>
      <w:r w:rsidR="00B60408">
        <w:rPr>
          <w:lang w:eastAsia="en-US"/>
        </w:rPr>
        <w:t>3.15</w:t>
      </w:r>
      <w:r>
        <w:rPr>
          <w:lang w:eastAsia="en-US"/>
        </w:rPr>
        <w:t xml:space="preserve"> pm, EnergyAustralia rebid 156 MW of </w:t>
      </w:r>
      <w:r w:rsidR="007773E8">
        <w:rPr>
          <w:lang w:eastAsia="en-US"/>
        </w:rPr>
        <w:t xml:space="preserve">available </w:t>
      </w:r>
      <w:r w:rsidR="00DD1469">
        <w:rPr>
          <w:lang w:eastAsia="en-US"/>
        </w:rPr>
        <w:t>c</w:t>
      </w:r>
      <w:r>
        <w:rPr>
          <w:lang w:eastAsia="en-US"/>
        </w:rPr>
        <w:t>apacity at Yallourn unit four from prices below $50/MWh to abo</w:t>
      </w:r>
      <w:r w:rsidR="00DD1469">
        <w:rPr>
          <w:lang w:eastAsia="en-US"/>
        </w:rPr>
        <w:t>v</w:t>
      </w:r>
      <w:r>
        <w:rPr>
          <w:lang w:eastAsia="en-US"/>
        </w:rPr>
        <w:t>e $12 000/MWh. The reason given was</w:t>
      </w:r>
      <w:r w:rsidR="00DD1469">
        <w:rPr>
          <w:lang w:eastAsia="en-US"/>
        </w:rPr>
        <w:t xml:space="preserve"> “</w:t>
      </w:r>
      <w:r>
        <w:rPr>
          <w:lang w:eastAsia="en-US"/>
        </w:rPr>
        <w:t>15:07 P band adj coal conservation SL”.</w:t>
      </w:r>
    </w:p>
    <w:p w:rsidR="000132AC" w:rsidRPr="000132AC" w:rsidRDefault="00100A15" w:rsidP="001B16CF">
      <w:pPr>
        <w:spacing w:before="100" w:beforeAutospacing="1" w:after="100" w:afterAutospacing="1"/>
        <w:rPr>
          <w:lang w:eastAsia="en-US"/>
        </w:rPr>
      </w:pPr>
      <w:r>
        <w:rPr>
          <w:lang w:eastAsia="en-US"/>
        </w:rPr>
        <w:t xml:space="preserve">At 3.12 pm, effective from 3.20 pm, </w:t>
      </w:r>
      <w:r w:rsidRPr="000132AC">
        <w:rPr>
          <w:lang w:eastAsia="en-US"/>
        </w:rPr>
        <w:t xml:space="preserve">Ecogen Energy rebid </w:t>
      </w:r>
      <w:r>
        <w:rPr>
          <w:lang w:eastAsia="en-US"/>
        </w:rPr>
        <w:t>60</w:t>
      </w:r>
      <w:r w:rsidRPr="000132AC">
        <w:rPr>
          <w:lang w:eastAsia="en-US"/>
        </w:rPr>
        <w:t xml:space="preserve"> MW of available capacity at Jeeralang B power station from </w:t>
      </w:r>
      <w:r w:rsidR="00C06B2C">
        <w:rPr>
          <w:lang w:eastAsia="en-US"/>
        </w:rPr>
        <w:t>the price</w:t>
      </w:r>
      <w:r w:rsidRPr="000132AC">
        <w:rPr>
          <w:lang w:eastAsia="en-US"/>
        </w:rPr>
        <w:t xml:space="preserve"> floor to </w:t>
      </w:r>
      <w:r w:rsidR="00C06B2C">
        <w:rPr>
          <w:lang w:eastAsia="en-US"/>
        </w:rPr>
        <w:t>close to the price cap</w:t>
      </w:r>
      <w:r w:rsidRPr="000132AC">
        <w:rPr>
          <w:lang w:eastAsia="en-US"/>
        </w:rPr>
        <w:t>. The reason given was “15:</w:t>
      </w:r>
      <w:r>
        <w:rPr>
          <w:lang w:eastAsia="en-US"/>
        </w:rPr>
        <w:t>1</w:t>
      </w:r>
      <w:r w:rsidRPr="000132AC">
        <w:rPr>
          <w:lang w:eastAsia="en-US"/>
        </w:rPr>
        <w:t xml:space="preserve">1 A band adj vic price below 30 </w:t>
      </w:r>
      <w:r w:rsidR="00DD1469">
        <w:rPr>
          <w:lang w:eastAsia="en-US"/>
        </w:rPr>
        <w:t>fcast</w:t>
      </w:r>
      <w:r w:rsidRPr="000132AC">
        <w:rPr>
          <w:lang w:eastAsia="en-US"/>
        </w:rPr>
        <w:t xml:space="preserve">”. </w:t>
      </w:r>
      <w:r>
        <w:rPr>
          <w:lang w:eastAsia="en-US"/>
        </w:rPr>
        <w:t xml:space="preserve">At 3.26 pm, effective from 3.35 pm, Ecogen Energy rebid 60 MW of available capacity at Newport power station from the price floor to the </w:t>
      </w:r>
      <w:r w:rsidRPr="001B16CF">
        <w:rPr>
          <w:lang w:eastAsia="en-US"/>
        </w:rPr>
        <w:t>price cap</w:t>
      </w:r>
      <w:r>
        <w:rPr>
          <w:lang w:eastAsia="en-US"/>
        </w:rPr>
        <w:t>. The reason given was “</w:t>
      </w:r>
      <w:r w:rsidRPr="000132AC">
        <w:rPr>
          <w:lang w:eastAsia="en-US"/>
        </w:rPr>
        <w:t>15:</w:t>
      </w:r>
      <w:r>
        <w:rPr>
          <w:lang w:eastAsia="en-US"/>
        </w:rPr>
        <w:t>25</w:t>
      </w:r>
      <w:r w:rsidRPr="000132AC">
        <w:rPr>
          <w:lang w:eastAsia="en-US"/>
        </w:rPr>
        <w:t xml:space="preserve"> A band adj vic price below 30 pd</w:t>
      </w:r>
      <w:r>
        <w:rPr>
          <w:lang w:eastAsia="en-US"/>
        </w:rPr>
        <w:t>”. Then a</w:t>
      </w:r>
      <w:r w:rsidR="000132AC" w:rsidRPr="000132AC">
        <w:rPr>
          <w:lang w:eastAsia="en-US"/>
        </w:rPr>
        <w:t>t 3.52 pm, effective from 4 pm, Ecogen Energy rebid</w:t>
      </w:r>
      <w:r>
        <w:rPr>
          <w:lang w:eastAsia="en-US"/>
        </w:rPr>
        <w:t xml:space="preserve"> a further </w:t>
      </w:r>
      <w:r w:rsidR="000132AC" w:rsidRPr="000132AC">
        <w:rPr>
          <w:lang w:eastAsia="en-US"/>
        </w:rPr>
        <w:t xml:space="preserve">87 MW of available capacity at Jeeralang B power station from the </w:t>
      </w:r>
      <w:r w:rsidR="00C06B2C">
        <w:rPr>
          <w:lang w:eastAsia="en-US"/>
        </w:rPr>
        <w:t xml:space="preserve">price </w:t>
      </w:r>
      <w:r w:rsidR="000132AC" w:rsidRPr="000132AC">
        <w:rPr>
          <w:lang w:eastAsia="en-US"/>
        </w:rPr>
        <w:t xml:space="preserve">floor to </w:t>
      </w:r>
      <w:r w:rsidR="00C06B2C">
        <w:rPr>
          <w:lang w:eastAsia="en-US"/>
        </w:rPr>
        <w:t>close to the price cap</w:t>
      </w:r>
      <w:r w:rsidR="000132AC" w:rsidRPr="000132AC">
        <w:rPr>
          <w:lang w:eastAsia="en-US"/>
        </w:rPr>
        <w:t xml:space="preserve">. The reason given was “15:51 A band adj vic price below 30 pd”. </w:t>
      </w:r>
    </w:p>
    <w:p w:rsidR="000132AC" w:rsidRPr="000132AC" w:rsidRDefault="005F4F33" w:rsidP="004902CA">
      <w:pPr>
        <w:spacing w:before="100" w:beforeAutospacing="1" w:after="100" w:afterAutospacing="1"/>
        <w:rPr>
          <w:lang w:eastAsia="en-US"/>
        </w:rPr>
      </w:pPr>
      <w:r>
        <w:rPr>
          <w:lang w:eastAsia="en-US"/>
        </w:rPr>
        <w:t xml:space="preserve">The 5 minute demand increased by 76 MW from 3.55 pm to </w:t>
      </w:r>
      <w:r w:rsidR="00454FB3">
        <w:rPr>
          <w:lang w:eastAsia="en-US"/>
        </w:rPr>
        <w:t>4 </w:t>
      </w:r>
      <w:r w:rsidR="0010736D">
        <w:rPr>
          <w:lang w:eastAsia="en-US"/>
        </w:rPr>
        <w:t>p</w:t>
      </w:r>
      <w:r w:rsidR="00454FB3">
        <w:rPr>
          <w:lang w:eastAsia="en-US"/>
        </w:rPr>
        <w:t xml:space="preserve">m. This along with the rebids above saw the 5 minute price increase from $70/MWh at 3.55 pm to </w:t>
      </w:r>
      <w:r w:rsidR="000132AC" w:rsidRPr="000132AC">
        <w:rPr>
          <w:lang w:eastAsia="en-US"/>
        </w:rPr>
        <w:t>$4516/MWh</w:t>
      </w:r>
      <w:r w:rsidR="00454FB3">
        <w:rPr>
          <w:lang w:eastAsia="en-US"/>
        </w:rPr>
        <w:t xml:space="preserve"> at 4 pm</w:t>
      </w:r>
      <w:r w:rsidR="000132AC" w:rsidRPr="000132AC">
        <w:rPr>
          <w:lang w:eastAsia="en-US"/>
        </w:rPr>
        <w:t>.</w:t>
      </w:r>
    </w:p>
    <w:p w:rsidR="006F6832" w:rsidRDefault="00A15666" w:rsidP="00405D63">
      <w:pPr>
        <w:spacing w:before="100" w:beforeAutospacing="1" w:after="100" w:afterAutospacing="1"/>
        <w:rPr>
          <w:lang w:eastAsia="en-US"/>
        </w:rPr>
      </w:pPr>
      <w:r>
        <w:rPr>
          <w:lang w:eastAsia="en-US"/>
        </w:rPr>
        <w:t>Over two rebids a</w:t>
      </w:r>
      <w:r w:rsidR="006F6832">
        <w:rPr>
          <w:lang w:eastAsia="en-US"/>
        </w:rPr>
        <w:t>t 4.0</w:t>
      </w:r>
      <w:r w:rsidR="00E60123">
        <w:rPr>
          <w:lang w:eastAsia="en-US"/>
        </w:rPr>
        <w:t>4</w:t>
      </w:r>
      <w:r w:rsidR="006F6832">
        <w:rPr>
          <w:lang w:eastAsia="en-US"/>
        </w:rPr>
        <w:t> pm</w:t>
      </w:r>
      <w:r>
        <w:rPr>
          <w:lang w:eastAsia="en-US"/>
        </w:rPr>
        <w:t xml:space="preserve"> and 4.06 pm</w:t>
      </w:r>
      <w:r w:rsidR="006F6832">
        <w:rPr>
          <w:lang w:eastAsia="en-US"/>
        </w:rPr>
        <w:t xml:space="preserve">, effective from 4.15 pm, Snowy Hydro rebid </w:t>
      </w:r>
      <w:r w:rsidR="00E60123">
        <w:rPr>
          <w:lang w:eastAsia="en-US"/>
        </w:rPr>
        <w:t>50</w:t>
      </w:r>
      <w:r w:rsidR="006F6832">
        <w:rPr>
          <w:lang w:eastAsia="en-US"/>
        </w:rPr>
        <w:t xml:space="preserve">0 MW of available capacity </w:t>
      </w:r>
      <w:r w:rsidR="005E0365">
        <w:rPr>
          <w:lang w:eastAsia="en-US"/>
        </w:rPr>
        <w:t xml:space="preserve">at Tumut 3 in NSW </w:t>
      </w:r>
      <w:r w:rsidR="006F6832">
        <w:rPr>
          <w:lang w:eastAsia="en-US"/>
        </w:rPr>
        <w:t xml:space="preserve">from </w:t>
      </w:r>
      <w:r w:rsidR="00E60123">
        <w:rPr>
          <w:lang w:eastAsia="en-US"/>
        </w:rPr>
        <w:t xml:space="preserve">prices below $50/MWh </w:t>
      </w:r>
      <w:r>
        <w:rPr>
          <w:lang w:eastAsia="en-US"/>
        </w:rPr>
        <w:t xml:space="preserve">to close to the price cap and </w:t>
      </w:r>
      <w:r w:rsidR="0010736D">
        <w:rPr>
          <w:lang w:eastAsia="en-US"/>
        </w:rPr>
        <w:t xml:space="preserve">increased </w:t>
      </w:r>
      <w:r w:rsidR="00E60123">
        <w:rPr>
          <w:lang w:eastAsia="en-US"/>
        </w:rPr>
        <w:t xml:space="preserve">the ramp down rate from 50 MW/min to 100 MW/min. </w:t>
      </w:r>
      <w:r w:rsidR="006F6832">
        <w:rPr>
          <w:lang w:eastAsia="en-US"/>
        </w:rPr>
        <w:t xml:space="preserve">The reason given </w:t>
      </w:r>
      <w:r w:rsidR="00E60123">
        <w:rPr>
          <w:lang w:eastAsia="en-US"/>
        </w:rPr>
        <w:t xml:space="preserve">for both rebids was </w:t>
      </w:r>
      <w:r w:rsidR="006F6832">
        <w:rPr>
          <w:lang w:eastAsia="en-US"/>
        </w:rPr>
        <w:t>“</w:t>
      </w:r>
      <w:r w:rsidR="006F6832" w:rsidRPr="00405D63">
        <w:rPr>
          <w:lang w:eastAsia="en-US"/>
        </w:rPr>
        <w:t xml:space="preserve">16:00 A VIC: </w:t>
      </w:r>
      <w:r w:rsidR="006F6832" w:rsidRPr="00A15666">
        <w:rPr>
          <w:lang w:eastAsia="en-US"/>
        </w:rPr>
        <w:t>act price $4,446.86 hgr thn 5mpd 16:00@15:51</w:t>
      </w:r>
      <w:r w:rsidR="006F6832">
        <w:rPr>
          <w:lang w:eastAsia="en-US"/>
        </w:rPr>
        <w:t>”.</w:t>
      </w:r>
      <w:r w:rsidR="0092005C">
        <w:rPr>
          <w:lang w:eastAsia="en-US"/>
        </w:rPr>
        <w:t xml:space="preserve"> These rebids resulted in Tumut 3 receiv</w:t>
      </w:r>
      <w:r w:rsidR="004902CA">
        <w:rPr>
          <w:lang w:eastAsia="en-US"/>
        </w:rPr>
        <w:t>ing</w:t>
      </w:r>
      <w:r w:rsidR="0092005C">
        <w:rPr>
          <w:lang w:eastAsia="en-US"/>
        </w:rPr>
        <w:t xml:space="preserve"> a target at 4.15 pm of zero.</w:t>
      </w:r>
    </w:p>
    <w:p w:rsidR="000132AC" w:rsidRPr="000132AC" w:rsidRDefault="000132AC" w:rsidP="00405D63">
      <w:pPr>
        <w:spacing w:before="100" w:beforeAutospacing="1" w:after="100" w:afterAutospacing="1"/>
        <w:rPr>
          <w:lang w:eastAsia="en-US"/>
        </w:rPr>
      </w:pPr>
      <w:r w:rsidRPr="000132AC">
        <w:rPr>
          <w:lang w:eastAsia="en-US"/>
        </w:rPr>
        <w:t xml:space="preserve">At 4.15 pm, </w:t>
      </w:r>
      <w:r w:rsidR="0092005C">
        <w:rPr>
          <w:lang w:eastAsia="en-US"/>
        </w:rPr>
        <w:t xml:space="preserve">as a result of </w:t>
      </w:r>
      <w:r w:rsidR="00E60DC4">
        <w:rPr>
          <w:lang w:eastAsia="en-US"/>
        </w:rPr>
        <w:t xml:space="preserve">the </w:t>
      </w:r>
      <w:r w:rsidR="0092005C">
        <w:rPr>
          <w:lang w:eastAsia="en-US"/>
        </w:rPr>
        <w:t xml:space="preserve">500 MW reduction in output at Tumut 3 </w:t>
      </w:r>
      <w:r w:rsidR="00E60DC4">
        <w:rPr>
          <w:lang w:eastAsia="en-US"/>
        </w:rPr>
        <w:t xml:space="preserve">in NSW, </w:t>
      </w:r>
      <w:r w:rsidR="0092005C">
        <w:rPr>
          <w:lang w:eastAsia="en-US"/>
        </w:rPr>
        <w:t xml:space="preserve">a constraint managing </w:t>
      </w:r>
      <w:r w:rsidRPr="000132AC">
        <w:rPr>
          <w:lang w:eastAsia="en-US"/>
        </w:rPr>
        <w:t xml:space="preserve">voltage stability </w:t>
      </w:r>
      <w:r w:rsidR="0092005C">
        <w:rPr>
          <w:lang w:eastAsia="en-US"/>
        </w:rPr>
        <w:t>on the loss of a Dederang to Murray 330</w:t>
      </w:r>
      <w:r w:rsidR="00405D63">
        <w:rPr>
          <w:lang w:eastAsia="en-US"/>
        </w:rPr>
        <w:t> </w:t>
      </w:r>
      <w:r w:rsidR="0092005C">
        <w:rPr>
          <w:lang w:eastAsia="en-US"/>
        </w:rPr>
        <w:t>kV line bound</w:t>
      </w:r>
      <w:r w:rsidRPr="000132AC">
        <w:rPr>
          <w:lang w:eastAsia="en-US"/>
        </w:rPr>
        <w:t xml:space="preserve"> and </w:t>
      </w:r>
      <w:r w:rsidR="0092005C">
        <w:rPr>
          <w:lang w:eastAsia="en-US"/>
        </w:rPr>
        <w:t>reduced</w:t>
      </w:r>
      <w:r w:rsidR="0092005C" w:rsidRPr="000132AC">
        <w:rPr>
          <w:lang w:eastAsia="en-US"/>
        </w:rPr>
        <w:t xml:space="preserve"> </w:t>
      </w:r>
      <w:r w:rsidRPr="000132AC">
        <w:rPr>
          <w:lang w:eastAsia="en-US"/>
        </w:rPr>
        <w:t>flows on the VIC-NSW interconnector into Victoria from 290 MW</w:t>
      </w:r>
      <w:r w:rsidR="0092005C">
        <w:rPr>
          <w:lang w:eastAsia="en-US"/>
        </w:rPr>
        <w:t xml:space="preserve"> at 4.10 pm</w:t>
      </w:r>
      <w:r w:rsidRPr="000132AC">
        <w:rPr>
          <w:lang w:eastAsia="en-US"/>
        </w:rPr>
        <w:t xml:space="preserve"> to 91 MW</w:t>
      </w:r>
      <w:r w:rsidR="0092005C">
        <w:rPr>
          <w:lang w:eastAsia="en-US"/>
        </w:rPr>
        <w:t xml:space="preserve"> at 4.15 pm</w:t>
      </w:r>
      <w:r w:rsidRPr="000132AC">
        <w:rPr>
          <w:lang w:eastAsia="en-US"/>
        </w:rPr>
        <w:t xml:space="preserve">. With </w:t>
      </w:r>
      <w:r w:rsidR="00E60DC4">
        <w:rPr>
          <w:lang w:eastAsia="en-US"/>
        </w:rPr>
        <w:t xml:space="preserve">the interconnector constrained and </w:t>
      </w:r>
      <w:r w:rsidRPr="000132AC">
        <w:rPr>
          <w:lang w:eastAsia="en-US"/>
        </w:rPr>
        <w:t xml:space="preserve">a number of </w:t>
      </w:r>
      <w:r w:rsidR="00E60DC4">
        <w:rPr>
          <w:lang w:eastAsia="en-US"/>
        </w:rPr>
        <w:t xml:space="preserve">Victorian </w:t>
      </w:r>
      <w:r w:rsidRPr="000132AC">
        <w:rPr>
          <w:lang w:eastAsia="en-US"/>
        </w:rPr>
        <w:t>generators already at their maximum output</w:t>
      </w:r>
      <w:r w:rsidR="00E60DC4">
        <w:rPr>
          <w:lang w:eastAsia="en-US"/>
        </w:rPr>
        <w:t>,</w:t>
      </w:r>
      <w:r w:rsidR="0092005C">
        <w:rPr>
          <w:lang w:eastAsia="en-US"/>
        </w:rPr>
        <w:t xml:space="preserve"> or trapped or stranded in FCAS</w:t>
      </w:r>
      <w:r w:rsidRPr="000132AC">
        <w:rPr>
          <w:lang w:eastAsia="en-US"/>
        </w:rPr>
        <w:t xml:space="preserve">, the </w:t>
      </w:r>
      <w:r w:rsidR="00E60DC4">
        <w:rPr>
          <w:lang w:eastAsia="en-US"/>
        </w:rPr>
        <w:t xml:space="preserve">Victorian </w:t>
      </w:r>
      <w:r w:rsidRPr="000132AC">
        <w:rPr>
          <w:lang w:eastAsia="en-US"/>
        </w:rPr>
        <w:t xml:space="preserve">price </w:t>
      </w:r>
      <w:r w:rsidR="0092005C">
        <w:rPr>
          <w:lang w:eastAsia="en-US"/>
        </w:rPr>
        <w:t>increased from $68/MWh at 4.10 pm to $8729/</w:t>
      </w:r>
      <w:r w:rsidR="00CC136F">
        <w:rPr>
          <w:lang w:eastAsia="en-US"/>
        </w:rPr>
        <w:t>MW</w:t>
      </w:r>
      <w:r w:rsidR="0092005C">
        <w:rPr>
          <w:lang w:eastAsia="en-US"/>
        </w:rPr>
        <w:t xml:space="preserve">h at 4.15 pm. At 4.20 pm prices returned to previous level when a </w:t>
      </w:r>
      <w:r w:rsidRPr="000132AC">
        <w:rPr>
          <w:lang w:eastAsia="en-US"/>
        </w:rPr>
        <w:t xml:space="preserve">large volume of generation in Victoria </w:t>
      </w:r>
      <w:r w:rsidR="00405D63">
        <w:rPr>
          <w:lang w:eastAsia="en-US"/>
        </w:rPr>
        <w:t>was</w:t>
      </w:r>
      <w:r w:rsidR="00405D63" w:rsidRPr="000132AC">
        <w:rPr>
          <w:lang w:eastAsia="en-US"/>
        </w:rPr>
        <w:t xml:space="preserve"> </w:t>
      </w:r>
      <w:r w:rsidRPr="000132AC">
        <w:rPr>
          <w:lang w:eastAsia="en-US"/>
        </w:rPr>
        <w:t>rebid to low</w:t>
      </w:r>
      <w:r w:rsidR="00405D63">
        <w:rPr>
          <w:lang w:eastAsia="en-US"/>
        </w:rPr>
        <w:t xml:space="preserve"> prices</w:t>
      </w:r>
      <w:r w:rsidRPr="000132AC">
        <w:rPr>
          <w:lang w:eastAsia="en-US"/>
        </w:rPr>
        <w:t>.</w:t>
      </w:r>
    </w:p>
    <w:p w:rsidR="000132AC" w:rsidRPr="000132AC" w:rsidRDefault="000132AC" w:rsidP="00702A41">
      <w:pPr>
        <w:spacing w:before="100" w:beforeAutospacing="1" w:after="100" w:afterAutospacing="1"/>
        <w:rPr>
          <w:lang w:eastAsia="en-US"/>
        </w:rPr>
      </w:pPr>
      <w:r w:rsidRPr="000132AC">
        <w:rPr>
          <w:lang w:eastAsia="en-US"/>
        </w:rPr>
        <w:t>At</w:t>
      </w:r>
      <w:r w:rsidR="00740CF3">
        <w:rPr>
          <w:lang w:eastAsia="en-US"/>
        </w:rPr>
        <w:t xml:space="preserve"> </w:t>
      </w:r>
      <w:r w:rsidRPr="000132AC">
        <w:rPr>
          <w:lang w:eastAsia="en-US"/>
        </w:rPr>
        <w:t>5.</w:t>
      </w:r>
      <w:r w:rsidR="00F763F1" w:rsidRPr="000132AC">
        <w:rPr>
          <w:lang w:eastAsia="en-US"/>
        </w:rPr>
        <w:t>2</w:t>
      </w:r>
      <w:r w:rsidR="00F763F1">
        <w:rPr>
          <w:lang w:eastAsia="en-US"/>
        </w:rPr>
        <w:t>5</w:t>
      </w:r>
      <w:r w:rsidR="00F763F1" w:rsidRPr="000132AC">
        <w:rPr>
          <w:lang w:eastAsia="en-US"/>
        </w:rPr>
        <w:t> </w:t>
      </w:r>
      <w:r w:rsidRPr="000132AC">
        <w:rPr>
          <w:lang w:eastAsia="en-US"/>
        </w:rPr>
        <w:t>pm</w:t>
      </w:r>
      <w:r w:rsidR="00740CF3">
        <w:rPr>
          <w:lang w:eastAsia="en-US"/>
        </w:rPr>
        <w:t>,</w:t>
      </w:r>
      <w:r w:rsidRPr="000132AC">
        <w:rPr>
          <w:lang w:eastAsia="en-US"/>
        </w:rPr>
        <w:t xml:space="preserve"> AEMO invoked a constraint </w:t>
      </w:r>
      <w:r w:rsidR="00E60DC4">
        <w:rPr>
          <w:lang w:eastAsia="en-US"/>
        </w:rPr>
        <w:t xml:space="preserve">from the constraint automation tool, </w:t>
      </w:r>
      <w:r w:rsidRPr="000132AC">
        <w:rPr>
          <w:lang w:eastAsia="en-US"/>
        </w:rPr>
        <w:t xml:space="preserve">to </w:t>
      </w:r>
      <w:r w:rsidR="00ED5B18">
        <w:rPr>
          <w:lang w:eastAsia="en-US"/>
        </w:rPr>
        <w:t xml:space="preserve">manage the </w:t>
      </w:r>
      <w:r w:rsidR="001A0655">
        <w:rPr>
          <w:lang w:eastAsia="en-US"/>
        </w:rPr>
        <w:t xml:space="preserve">potential </w:t>
      </w:r>
      <w:r w:rsidR="00F763F1">
        <w:rPr>
          <w:lang w:eastAsia="en-US"/>
        </w:rPr>
        <w:t xml:space="preserve">overload of the </w:t>
      </w:r>
      <w:r w:rsidR="00F763F1" w:rsidRPr="000132AC">
        <w:rPr>
          <w:lang w:eastAsia="en-US"/>
        </w:rPr>
        <w:t xml:space="preserve">Dederang to Shepparton 220 kV line </w:t>
      </w:r>
      <w:r w:rsidR="00F763F1">
        <w:rPr>
          <w:lang w:eastAsia="en-US"/>
        </w:rPr>
        <w:t xml:space="preserve">for </w:t>
      </w:r>
      <w:r w:rsidR="00ED5B18">
        <w:rPr>
          <w:lang w:eastAsia="en-US"/>
        </w:rPr>
        <w:t xml:space="preserve">loss of </w:t>
      </w:r>
      <w:r w:rsidR="00ED5B18" w:rsidRPr="000132AC">
        <w:rPr>
          <w:lang w:eastAsia="en-US"/>
        </w:rPr>
        <w:t xml:space="preserve">Dederang to Glenrowan No.1 </w:t>
      </w:r>
      <w:r w:rsidR="00E60DC4">
        <w:rPr>
          <w:lang w:eastAsia="en-US"/>
        </w:rPr>
        <w:t>and</w:t>
      </w:r>
      <w:r w:rsidR="00ED5B18" w:rsidRPr="000132AC">
        <w:rPr>
          <w:lang w:eastAsia="en-US"/>
        </w:rPr>
        <w:t xml:space="preserve"> No.3 220 kV lines</w:t>
      </w:r>
      <w:r w:rsidR="00F763F1">
        <w:rPr>
          <w:lang w:eastAsia="en-US"/>
        </w:rPr>
        <w:t>.</w:t>
      </w:r>
      <w:r w:rsidR="00ED5B18" w:rsidRPr="000132AC">
        <w:rPr>
          <w:lang w:eastAsia="en-US"/>
        </w:rPr>
        <w:t xml:space="preserve"> </w:t>
      </w:r>
      <w:r w:rsidRPr="000132AC">
        <w:rPr>
          <w:lang w:eastAsia="en-US"/>
        </w:rPr>
        <w:t xml:space="preserve">The constraint </w:t>
      </w:r>
      <w:r w:rsidR="00F763F1">
        <w:rPr>
          <w:lang w:eastAsia="en-US"/>
        </w:rPr>
        <w:t xml:space="preserve">immediately </w:t>
      </w:r>
      <w:r w:rsidRPr="000132AC">
        <w:rPr>
          <w:lang w:eastAsia="en-US"/>
        </w:rPr>
        <w:t xml:space="preserve">bound </w:t>
      </w:r>
      <w:r w:rsidR="00CC136F">
        <w:rPr>
          <w:lang w:eastAsia="en-US"/>
        </w:rPr>
        <w:t>and forced flows into</w:t>
      </w:r>
      <w:r w:rsidRPr="000132AC">
        <w:rPr>
          <w:lang w:eastAsia="en-US"/>
        </w:rPr>
        <w:t xml:space="preserve"> New South Wales </w:t>
      </w:r>
      <w:r w:rsidR="00CC136F">
        <w:rPr>
          <w:lang w:eastAsia="en-US"/>
        </w:rPr>
        <w:t xml:space="preserve">to </w:t>
      </w:r>
      <w:r w:rsidRPr="000132AC">
        <w:rPr>
          <w:lang w:eastAsia="en-US"/>
        </w:rPr>
        <w:t>increase from 287 MW</w:t>
      </w:r>
      <w:r w:rsidR="00CC136F">
        <w:rPr>
          <w:lang w:eastAsia="en-US"/>
        </w:rPr>
        <w:t xml:space="preserve"> at 5.20 pm</w:t>
      </w:r>
      <w:r w:rsidRPr="000132AC">
        <w:rPr>
          <w:lang w:eastAsia="en-US"/>
        </w:rPr>
        <w:t xml:space="preserve"> to 610 MW </w:t>
      </w:r>
      <w:r w:rsidR="00702A41">
        <w:rPr>
          <w:lang w:eastAsia="en-US"/>
        </w:rPr>
        <w:t xml:space="preserve">at </w:t>
      </w:r>
      <w:r w:rsidR="00CC136F">
        <w:rPr>
          <w:lang w:eastAsia="en-US"/>
        </w:rPr>
        <w:t>5.25 pm</w:t>
      </w:r>
      <w:r w:rsidRPr="000132AC">
        <w:rPr>
          <w:lang w:eastAsia="en-US"/>
        </w:rPr>
        <w:t xml:space="preserve">. The </w:t>
      </w:r>
      <w:r w:rsidR="00CC136F">
        <w:rPr>
          <w:lang w:eastAsia="en-US"/>
        </w:rPr>
        <w:t xml:space="preserve">5 minute </w:t>
      </w:r>
      <w:r w:rsidRPr="000132AC">
        <w:rPr>
          <w:lang w:eastAsia="en-US"/>
        </w:rPr>
        <w:t xml:space="preserve">price </w:t>
      </w:r>
      <w:r w:rsidR="00CC136F">
        <w:rPr>
          <w:lang w:eastAsia="en-US"/>
        </w:rPr>
        <w:t>increased from $51/MWh at 5.20 pm to</w:t>
      </w:r>
      <w:r w:rsidR="00CC136F" w:rsidRPr="000132AC">
        <w:rPr>
          <w:lang w:eastAsia="en-US"/>
        </w:rPr>
        <w:t xml:space="preserve"> </w:t>
      </w:r>
      <w:r w:rsidR="004F1FCA">
        <w:rPr>
          <w:lang w:eastAsia="en-US"/>
        </w:rPr>
        <w:t>$</w:t>
      </w:r>
      <w:r w:rsidRPr="000132AC">
        <w:rPr>
          <w:lang w:eastAsia="en-US"/>
        </w:rPr>
        <w:t>13</w:t>
      </w:r>
      <w:r w:rsidR="004F1FCA">
        <w:rPr>
          <w:lang w:eastAsia="en-US"/>
        </w:rPr>
        <w:t> </w:t>
      </w:r>
      <w:r w:rsidRPr="000132AC">
        <w:rPr>
          <w:lang w:eastAsia="en-US"/>
        </w:rPr>
        <w:t xml:space="preserve">075/MWh </w:t>
      </w:r>
      <w:r w:rsidR="00CC136F">
        <w:rPr>
          <w:lang w:eastAsia="en-US"/>
        </w:rPr>
        <w:t>at 5.25 pm and $8723/MWh at 5.30 pm.</w:t>
      </w:r>
    </w:p>
    <w:p w:rsidR="000132AC" w:rsidRPr="000132AC" w:rsidRDefault="000132AC" w:rsidP="00702A41">
      <w:pPr>
        <w:spacing w:before="100" w:beforeAutospacing="1" w:after="100" w:afterAutospacing="1"/>
        <w:rPr>
          <w:lang w:eastAsia="en-US"/>
        </w:rPr>
      </w:pPr>
      <w:r w:rsidRPr="000132AC">
        <w:rPr>
          <w:lang w:eastAsia="en-US"/>
        </w:rPr>
        <w:t>There was no other significant rebidding.</w:t>
      </w:r>
    </w:p>
    <w:p w:rsidR="00557095" w:rsidRPr="00470218" w:rsidRDefault="00557095" w:rsidP="00557095">
      <w:pPr>
        <w:pStyle w:val="AERtabletitle"/>
      </w:pPr>
      <w:r>
        <w:t>Table 5</w:t>
      </w:r>
      <w:r w:rsidRPr="00470218">
        <w:t xml:space="preserve">: </w:t>
      </w:r>
      <w:r>
        <w:t>Victoria</w:t>
      </w:r>
      <w:r w:rsidRPr="00470218">
        <w:t>,</w:t>
      </w:r>
      <w:r>
        <w:t xml:space="preserve"> Friday</w:t>
      </w:r>
      <w:r w:rsidRPr="00470218">
        <w:t> </w:t>
      </w:r>
      <w:r>
        <w:t>20 December</w:t>
      </w:r>
      <w:r>
        <w:tab/>
      </w:r>
      <w:r w:rsidR="003F2B11">
        <w:t xml:space="preserve"> 1.30 PM</w:t>
      </w:r>
    </w:p>
    <w:tbl>
      <w:tblPr>
        <w:tblStyle w:val="MediumShading1-Accent11"/>
        <w:tblW w:w="932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78"/>
        <w:gridCol w:w="938"/>
        <w:gridCol w:w="938"/>
        <w:gridCol w:w="938"/>
        <w:gridCol w:w="938"/>
        <w:gridCol w:w="939"/>
        <w:gridCol w:w="938"/>
        <w:gridCol w:w="938"/>
        <w:gridCol w:w="938"/>
        <w:gridCol w:w="939"/>
      </w:tblGrid>
      <w:tr w:rsidR="003A1800" w:rsidRPr="00EE375C" w:rsidTr="003F2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rPr>
                <w:b w:val="0"/>
                <w:bCs w:val="0"/>
                <w:color w:val="auto"/>
              </w:rPr>
            </w:pPr>
            <w:r>
              <w:t>Time</w:t>
            </w:r>
          </w:p>
        </w:tc>
        <w:tc>
          <w:tcPr>
            <w:tcW w:w="2814"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Price ($/MWh)</w:t>
            </w:r>
          </w:p>
        </w:tc>
        <w:tc>
          <w:tcPr>
            <w:tcW w:w="2815"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Demand (MW)</w:t>
            </w:r>
          </w:p>
        </w:tc>
        <w:tc>
          <w:tcPr>
            <w:tcW w:w="2815"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Availability (MW)</w:t>
            </w:r>
          </w:p>
        </w:tc>
      </w:tr>
      <w:tr w:rsidR="003A1800" w:rsidRPr="00EE375C" w:rsidTr="003F2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rPr>
                <w:b w:val="0"/>
                <w:bCs w:val="0"/>
                <w:color w:val="auto"/>
              </w:rPr>
            </w:pP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Actual</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4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12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Actual</w:t>
            </w:r>
          </w:p>
        </w:tc>
        <w:tc>
          <w:tcPr>
            <w:tcW w:w="939"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4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E375C">
              <w:t>12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Actual</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4 hr forecast</w:t>
            </w:r>
          </w:p>
        </w:tc>
        <w:tc>
          <w:tcPr>
            <w:tcW w:w="939"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E375C">
              <w:t>12 hr forecast</w:t>
            </w:r>
          </w:p>
        </w:tc>
      </w:tr>
      <w:tr w:rsidR="003A1800" w:rsidRPr="003F2B11" w:rsidTr="003F2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shd w:val="clear" w:color="auto" w:fill="DDD9C3"/>
            <w:vAlign w:val="center"/>
          </w:tcPr>
          <w:p w:rsidR="003A1800" w:rsidRPr="003F2B11" w:rsidRDefault="003A1800" w:rsidP="003F2B11">
            <w:pPr>
              <w:pStyle w:val="AERtabletext-numbers"/>
              <w:jc w:val="center"/>
              <w:rPr>
                <w:b w:val="0"/>
                <w:bCs w:val="0"/>
              </w:rPr>
            </w:pPr>
            <w:r w:rsidRPr="003F2B11">
              <w:rPr>
                <w:b w:val="0"/>
              </w:rPr>
              <w:t>1</w:t>
            </w:r>
            <w:r w:rsidR="003F2B11" w:rsidRPr="003F2B11">
              <w:rPr>
                <w:b w:val="0"/>
              </w:rPr>
              <w:t>.</w:t>
            </w:r>
            <w:r w:rsidRPr="003F2B11">
              <w:rPr>
                <w:b w:val="0"/>
              </w:rPr>
              <w:t>30 PM</w:t>
            </w:r>
          </w:p>
        </w:tc>
        <w:tc>
          <w:tcPr>
            <w:tcW w:w="938" w:type="dxa"/>
            <w:tcBorders>
              <w:left w:val="none" w:sz="0" w:space="0" w:color="auto"/>
              <w:right w:val="none" w:sz="0" w:space="0" w:color="auto"/>
            </w:tcBorders>
            <w:shd w:val="clear" w:color="auto" w:fill="DDD9C3"/>
            <w:vAlign w:val="center"/>
          </w:tcPr>
          <w:p w:rsidR="003A1800" w:rsidRPr="003F2B11" w:rsidRDefault="003A1800" w:rsidP="003F2B11">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-127.83</w:t>
            </w:r>
          </w:p>
        </w:tc>
        <w:tc>
          <w:tcPr>
            <w:tcW w:w="938" w:type="dxa"/>
            <w:tcBorders>
              <w:left w:val="none" w:sz="0" w:space="0" w:color="auto"/>
              <w:right w:val="none" w:sz="0" w:space="0" w:color="auto"/>
            </w:tcBorders>
            <w:shd w:val="clear" w:color="auto" w:fill="DDD9C3"/>
            <w:vAlign w:val="center"/>
          </w:tcPr>
          <w:p w:rsidR="003A1800" w:rsidRPr="003F2B11"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52.91</w:t>
            </w:r>
          </w:p>
        </w:tc>
        <w:tc>
          <w:tcPr>
            <w:tcW w:w="938" w:type="dxa"/>
            <w:tcBorders>
              <w:left w:val="none" w:sz="0" w:space="0" w:color="auto"/>
              <w:right w:val="none" w:sz="0" w:space="0" w:color="auto"/>
            </w:tcBorders>
            <w:shd w:val="clear" w:color="auto" w:fill="DDD9C3"/>
            <w:vAlign w:val="center"/>
          </w:tcPr>
          <w:p w:rsidR="003A1800" w:rsidRPr="003F2B11"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52.52</w:t>
            </w:r>
          </w:p>
        </w:tc>
        <w:tc>
          <w:tcPr>
            <w:tcW w:w="938" w:type="dxa"/>
            <w:tcBorders>
              <w:left w:val="none" w:sz="0" w:space="0" w:color="auto"/>
              <w:right w:val="none" w:sz="0" w:space="0" w:color="auto"/>
            </w:tcBorders>
            <w:shd w:val="clear" w:color="auto" w:fill="DDD9C3"/>
            <w:vAlign w:val="center"/>
          </w:tcPr>
          <w:p w:rsidR="003A1800" w:rsidRPr="003F2B11"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6694</w:t>
            </w:r>
          </w:p>
        </w:tc>
        <w:tc>
          <w:tcPr>
            <w:tcW w:w="939" w:type="dxa"/>
            <w:tcBorders>
              <w:left w:val="none" w:sz="0" w:space="0" w:color="auto"/>
              <w:right w:val="none" w:sz="0" w:space="0" w:color="auto"/>
            </w:tcBorders>
            <w:shd w:val="clear" w:color="auto" w:fill="DDD9C3"/>
            <w:vAlign w:val="center"/>
          </w:tcPr>
          <w:p w:rsidR="003A1800" w:rsidRPr="003F2B11"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7246</w:t>
            </w:r>
          </w:p>
        </w:tc>
        <w:tc>
          <w:tcPr>
            <w:tcW w:w="938" w:type="dxa"/>
            <w:tcBorders>
              <w:left w:val="none" w:sz="0" w:space="0" w:color="auto"/>
              <w:right w:val="none" w:sz="0" w:space="0" w:color="auto"/>
            </w:tcBorders>
            <w:shd w:val="clear" w:color="auto" w:fill="DDD9C3"/>
            <w:vAlign w:val="center"/>
          </w:tcPr>
          <w:p w:rsidR="003A1800" w:rsidRPr="003F2B11"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7110</w:t>
            </w:r>
          </w:p>
        </w:tc>
        <w:tc>
          <w:tcPr>
            <w:tcW w:w="938" w:type="dxa"/>
            <w:tcBorders>
              <w:left w:val="none" w:sz="0" w:space="0" w:color="auto"/>
              <w:right w:val="none" w:sz="0" w:space="0" w:color="auto"/>
            </w:tcBorders>
            <w:shd w:val="clear" w:color="auto" w:fill="DDD9C3"/>
            <w:vAlign w:val="center"/>
          </w:tcPr>
          <w:p w:rsidR="003A1800" w:rsidRPr="003F2B11"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9110</w:t>
            </w:r>
          </w:p>
        </w:tc>
        <w:tc>
          <w:tcPr>
            <w:tcW w:w="938" w:type="dxa"/>
            <w:tcBorders>
              <w:left w:val="none" w:sz="0" w:space="0" w:color="auto"/>
              <w:right w:val="none" w:sz="0" w:space="0" w:color="auto"/>
            </w:tcBorders>
            <w:shd w:val="clear" w:color="auto" w:fill="DDD9C3"/>
            <w:vAlign w:val="center"/>
          </w:tcPr>
          <w:p w:rsidR="003A1800" w:rsidRPr="003F2B11"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10 498</w:t>
            </w:r>
          </w:p>
        </w:tc>
        <w:tc>
          <w:tcPr>
            <w:tcW w:w="939" w:type="dxa"/>
            <w:tcBorders>
              <w:left w:val="none" w:sz="0" w:space="0" w:color="auto"/>
            </w:tcBorders>
            <w:shd w:val="clear" w:color="auto" w:fill="DDD9C3"/>
            <w:vAlign w:val="center"/>
          </w:tcPr>
          <w:p w:rsidR="003A1800" w:rsidRPr="003F2B11" w:rsidRDefault="003A1800" w:rsidP="008F4C10">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10 726</w:t>
            </w:r>
          </w:p>
        </w:tc>
      </w:tr>
    </w:tbl>
    <w:p w:rsidR="00BA7A0E" w:rsidRDefault="00BA7A0E" w:rsidP="00702A41">
      <w:pPr>
        <w:spacing w:before="100" w:beforeAutospacing="1" w:after="100" w:afterAutospacing="1"/>
      </w:pPr>
    </w:p>
    <w:p w:rsidR="000B58B7" w:rsidRDefault="000B58B7" w:rsidP="00702A41">
      <w:pPr>
        <w:spacing w:before="100" w:beforeAutospacing="1" w:after="100" w:afterAutospacing="1"/>
      </w:pPr>
      <w:r w:rsidRPr="00F63E45">
        <w:t xml:space="preserve">Conditions at the time saw demand 552 MW lower than forecast </w:t>
      </w:r>
      <w:r w:rsidR="00F63E45" w:rsidRPr="00F63E45">
        <w:t>four hours ahead, with</w:t>
      </w:r>
      <w:r w:rsidRPr="00F63E45">
        <w:t xml:space="preserve"> available capacity 1388 MW lower than forecast</w:t>
      </w:r>
      <w:r w:rsidR="00F63E45" w:rsidRPr="00F63E45">
        <w:t xml:space="preserve"> </w:t>
      </w:r>
      <w:r w:rsidR="006A05D2">
        <w:t>four hours ahead</w:t>
      </w:r>
      <w:r w:rsidR="00F63E45" w:rsidRPr="00F63E45">
        <w:t>.</w:t>
      </w:r>
    </w:p>
    <w:p w:rsidR="001F6F7C" w:rsidRDefault="001F6F7C" w:rsidP="001F6F7C">
      <w:pPr>
        <w:spacing w:before="100" w:beforeAutospacing="1" w:after="100" w:afterAutospacing="1"/>
      </w:pPr>
      <w:r>
        <w:t>From 10.30 am,</w:t>
      </w:r>
      <w:r w:rsidRPr="009E30C8">
        <w:t xml:space="preserve"> a </w:t>
      </w:r>
      <w:r>
        <w:t>system normal</w:t>
      </w:r>
      <w:r w:rsidR="001A0655">
        <w:t xml:space="preserve"> constraint</w:t>
      </w:r>
      <w:r w:rsidRPr="009E30C8">
        <w:t xml:space="preserve">, which manages flows on the Ballarat to Bendigo 220 kV line </w:t>
      </w:r>
      <w:r w:rsidR="001A0655">
        <w:t>bound</w:t>
      </w:r>
      <w:r w:rsidR="00702A41">
        <w:t>,</w:t>
      </w:r>
      <w:r>
        <w:t xml:space="preserve"> forcing </w:t>
      </w:r>
      <w:r w:rsidR="001A0655">
        <w:t xml:space="preserve">counter-price </w:t>
      </w:r>
      <w:r>
        <w:t>flow</w:t>
      </w:r>
      <w:r w:rsidR="00702A41">
        <w:t>s</w:t>
      </w:r>
      <w:r>
        <w:t xml:space="preserve"> fro</w:t>
      </w:r>
      <w:r w:rsidR="006B276B">
        <w:t>m New South Wales into Victoria</w:t>
      </w:r>
      <w:r w:rsidRPr="009E30C8">
        <w:t>.</w:t>
      </w:r>
      <w:r>
        <w:t xml:space="preserve"> </w:t>
      </w:r>
      <w:r w:rsidR="006B276B">
        <w:t>This constraint has Murray as the only generator on the left hand side of the constraint</w:t>
      </w:r>
      <w:r w:rsidR="0000035D">
        <w:t xml:space="preserve">, making it and flows across the interconnector the only two </w:t>
      </w:r>
      <w:r w:rsidR="00EF396B">
        <w:t>variables that can be used to manage the flow</w:t>
      </w:r>
      <w:r w:rsidR="006B276B">
        <w:t>.</w:t>
      </w:r>
    </w:p>
    <w:p w:rsidR="001F6F7C" w:rsidRDefault="009E30C8" w:rsidP="00702A41">
      <w:pPr>
        <w:spacing w:before="100" w:beforeAutospacing="1" w:after="100" w:afterAutospacing="1"/>
      </w:pPr>
      <w:r>
        <w:t>From 12.</w:t>
      </w:r>
      <w:r w:rsidR="001F6F7C">
        <w:t>40 </w:t>
      </w:r>
      <w:r>
        <w:t xml:space="preserve">pm, </w:t>
      </w:r>
      <w:r w:rsidR="001A0655">
        <w:t xml:space="preserve">AEMO invoked </w:t>
      </w:r>
      <w:r>
        <w:t>negative settlement residue management constraints to manage counter-</w:t>
      </w:r>
      <w:r w:rsidRPr="009E30C8">
        <w:t>priced flows on the VIC-NSW interconnector</w:t>
      </w:r>
      <w:r w:rsidR="0000035D">
        <w:t xml:space="preserve">. The constraints invoked </w:t>
      </w:r>
      <w:r w:rsidR="001F6F7C">
        <w:t xml:space="preserve">bound or </w:t>
      </w:r>
      <w:r w:rsidR="0000035D">
        <w:t xml:space="preserve">were </w:t>
      </w:r>
      <w:r w:rsidR="001F6F7C">
        <w:t xml:space="preserve">violated up until 2.25 pm. </w:t>
      </w:r>
      <w:r w:rsidR="0000035D">
        <w:t xml:space="preserve">During this period, </w:t>
      </w:r>
      <w:r w:rsidR="001F6F7C">
        <w:t>around $2 million of negative settlement residues accrued.</w:t>
      </w:r>
      <w:r w:rsidR="00DD2A12">
        <w:t xml:space="preserve"> The total negative settlement residue accrued for the day was approximately $3million.</w:t>
      </w:r>
    </w:p>
    <w:p w:rsidR="007A6CDA" w:rsidRDefault="007A6CDA" w:rsidP="0040603A">
      <w:pPr>
        <w:spacing w:before="100" w:beforeAutospacing="1" w:after="100" w:afterAutospacing="1"/>
      </w:pPr>
      <w:r>
        <w:t xml:space="preserve">At </w:t>
      </w:r>
      <w:r w:rsidR="00164D13">
        <w:t xml:space="preserve">12.42 pm, effective from 12.50 pm, Snowy Hydro reduced the </w:t>
      </w:r>
      <w:r w:rsidR="0000035D">
        <w:t xml:space="preserve">availability </w:t>
      </w:r>
      <w:r w:rsidR="00164D13">
        <w:t>of Murray</w:t>
      </w:r>
      <w:r w:rsidR="00242916">
        <w:t xml:space="preserve"> in Victoria</w:t>
      </w:r>
      <w:r w:rsidR="00164D13">
        <w:t xml:space="preserve"> </w:t>
      </w:r>
      <w:r w:rsidR="0000035D">
        <w:t xml:space="preserve">from around </w:t>
      </w:r>
      <w:r w:rsidR="00164D13">
        <w:t>135</w:t>
      </w:r>
      <w:r w:rsidR="0000035D">
        <w:t>0</w:t>
      </w:r>
      <w:r w:rsidR="00164D13">
        <w:t xml:space="preserve"> MW to zero, all of which </w:t>
      </w:r>
      <w:r w:rsidR="00EF396B">
        <w:t xml:space="preserve">had been </w:t>
      </w:r>
      <w:r w:rsidR="00164D13">
        <w:t>priced near the price cap. The reason given was “Murray constrained on at VoLL – price $1”.</w:t>
      </w:r>
    </w:p>
    <w:p w:rsidR="006B276B" w:rsidRDefault="006B276B" w:rsidP="0040603A">
      <w:pPr>
        <w:spacing w:before="100" w:beforeAutospacing="1" w:after="100" w:afterAutospacing="1"/>
      </w:pPr>
      <w:r>
        <w:t xml:space="preserve">A combination of Murray being </w:t>
      </w:r>
      <w:r w:rsidR="00EF396B">
        <w:t xml:space="preserve">shut down </w:t>
      </w:r>
      <w:r>
        <w:t>and generators in New South Wales rebidding large amounts of capacity close to the price floor saw</w:t>
      </w:r>
      <w:r w:rsidRPr="006B276B">
        <w:t xml:space="preserve"> </w:t>
      </w:r>
      <w:r>
        <w:t xml:space="preserve">flows into Victoria increase from 423 MW at 1.25 pm to 1013 MW </w:t>
      </w:r>
      <w:r w:rsidR="004E2DF6">
        <w:t xml:space="preserve">by </w:t>
      </w:r>
      <w:r>
        <w:t xml:space="preserve">1.30 pm leading to generation in Victoria </w:t>
      </w:r>
      <w:r w:rsidR="001032E7">
        <w:t xml:space="preserve">being reduced at its maximum ramp rate </w:t>
      </w:r>
      <w:r w:rsidR="007402E0">
        <w:t xml:space="preserve">and resulting in </w:t>
      </w:r>
      <w:r>
        <w:t xml:space="preserve">the </w:t>
      </w:r>
      <w:r w:rsidR="00D35665">
        <w:t xml:space="preserve">1.30 pm </w:t>
      </w:r>
      <w:r w:rsidR="008F4C10">
        <w:t xml:space="preserve">5 minute </w:t>
      </w:r>
      <w:r w:rsidR="007402E0">
        <w:t xml:space="preserve">dispatch </w:t>
      </w:r>
      <w:r>
        <w:t xml:space="preserve">price </w:t>
      </w:r>
      <w:r w:rsidR="008F4C10">
        <w:t xml:space="preserve">in Victoria </w:t>
      </w:r>
      <w:r>
        <w:t>f</w:t>
      </w:r>
      <w:r w:rsidR="007402E0">
        <w:t>a</w:t>
      </w:r>
      <w:r>
        <w:t>ll</w:t>
      </w:r>
      <w:r w:rsidR="007402E0">
        <w:t>ing</w:t>
      </w:r>
      <w:r>
        <w:t xml:space="preserve"> to </w:t>
      </w:r>
      <w:r w:rsidRPr="00FB4442">
        <w:noBreakHyphen/>
        <w:t>$969.9/</w:t>
      </w:r>
      <w:proofErr w:type="spellStart"/>
      <w:r w:rsidRPr="00FB4442">
        <w:t>MWh</w:t>
      </w:r>
      <w:proofErr w:type="spellEnd"/>
      <w:r w:rsidRPr="00FB4442">
        <w:t xml:space="preserve"> </w:t>
      </w:r>
      <w:r w:rsidR="00D35665">
        <w:t xml:space="preserve">and </w:t>
      </w:r>
      <w:r w:rsidR="00D35665" w:rsidRPr="00FB4442">
        <w:t>$</w:t>
      </w:r>
      <w:r w:rsidR="00D35665">
        <w:t>299</w:t>
      </w:r>
      <w:r w:rsidR="00D35665" w:rsidRPr="00FB4442">
        <w:t>/</w:t>
      </w:r>
      <w:proofErr w:type="spellStart"/>
      <w:r w:rsidR="00D35665" w:rsidRPr="00FB4442">
        <w:t>MWh</w:t>
      </w:r>
      <w:proofErr w:type="spellEnd"/>
      <w:r w:rsidR="00D35665" w:rsidRPr="00FB4442">
        <w:t xml:space="preserve"> </w:t>
      </w:r>
      <w:r w:rsidR="00D35665">
        <w:t>in NSW</w:t>
      </w:r>
      <w:r>
        <w:t>.</w:t>
      </w:r>
      <w:r w:rsidR="007402E0">
        <w:t xml:space="preserve"> </w:t>
      </w:r>
    </w:p>
    <w:p w:rsidR="004405BE" w:rsidRPr="00FB4442" w:rsidRDefault="007402E0" w:rsidP="0040603A">
      <w:pPr>
        <w:spacing w:before="100" w:beforeAutospacing="1" w:after="100" w:afterAutospacing="1"/>
      </w:pPr>
      <w:r>
        <w:t>More d</w:t>
      </w:r>
      <w:r w:rsidR="006D4990">
        <w:t xml:space="preserve">etailed analysis of the </w:t>
      </w:r>
      <w:r>
        <w:t xml:space="preserve">circumstances in </w:t>
      </w:r>
      <w:r w:rsidR="006D4990">
        <w:t>New South Wales will be covered in the $5000 report.</w:t>
      </w:r>
    </w:p>
    <w:p w:rsidR="000B58B7" w:rsidRDefault="00FB4442" w:rsidP="0040603A">
      <w:pPr>
        <w:spacing w:before="100" w:beforeAutospacing="1" w:after="100" w:afterAutospacing="1"/>
      </w:pPr>
      <w:r w:rsidRPr="00FB4442">
        <w:t>There was no other significant rebidding.</w:t>
      </w:r>
    </w:p>
    <w:p w:rsidR="008F4C10" w:rsidRPr="008F4C10" w:rsidRDefault="008F4C10" w:rsidP="0040603A">
      <w:pPr>
        <w:spacing w:before="100" w:beforeAutospacing="1" w:after="100" w:afterAutospacing="1"/>
        <w:rPr>
          <w:b/>
          <w:lang w:eastAsia="en-US"/>
        </w:rPr>
      </w:pPr>
      <w:r w:rsidRPr="008F4C10">
        <w:rPr>
          <w:b/>
        </w:rPr>
        <w:t>South Australia</w:t>
      </w:r>
    </w:p>
    <w:p w:rsidR="00557095" w:rsidRPr="00470218" w:rsidRDefault="00557095" w:rsidP="00557095">
      <w:pPr>
        <w:pStyle w:val="AERtabletitle"/>
      </w:pPr>
      <w:r>
        <w:t>Table 6</w:t>
      </w:r>
      <w:r w:rsidRPr="00470218">
        <w:t xml:space="preserve">: </w:t>
      </w:r>
      <w:r>
        <w:t>South Australia</w:t>
      </w:r>
      <w:r w:rsidRPr="00470218">
        <w:t>,</w:t>
      </w:r>
      <w:r>
        <w:t xml:space="preserve"> Wednesday</w:t>
      </w:r>
      <w:r w:rsidRPr="00470218">
        <w:t> </w:t>
      </w:r>
      <w:r w:rsidR="003F2B11">
        <w:t>18 December 4.30 PM</w:t>
      </w:r>
    </w:p>
    <w:tbl>
      <w:tblPr>
        <w:tblStyle w:val="MediumShading1-Accent11"/>
        <w:tblW w:w="932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78"/>
        <w:gridCol w:w="938"/>
        <w:gridCol w:w="938"/>
        <w:gridCol w:w="938"/>
        <w:gridCol w:w="938"/>
        <w:gridCol w:w="939"/>
        <w:gridCol w:w="938"/>
        <w:gridCol w:w="938"/>
        <w:gridCol w:w="938"/>
        <w:gridCol w:w="939"/>
      </w:tblGrid>
      <w:tr w:rsidR="003A1800" w:rsidRPr="00EE375C" w:rsidTr="003F2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rPr>
                <w:b w:val="0"/>
                <w:bCs w:val="0"/>
                <w:color w:val="auto"/>
              </w:rPr>
            </w:pPr>
            <w:r>
              <w:t>Time</w:t>
            </w:r>
          </w:p>
        </w:tc>
        <w:tc>
          <w:tcPr>
            <w:tcW w:w="2814"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Price ($/MWh)</w:t>
            </w:r>
          </w:p>
        </w:tc>
        <w:tc>
          <w:tcPr>
            <w:tcW w:w="2815"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Demand (MW)</w:t>
            </w:r>
          </w:p>
        </w:tc>
        <w:tc>
          <w:tcPr>
            <w:tcW w:w="2815"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Availability (MW)</w:t>
            </w:r>
          </w:p>
        </w:tc>
      </w:tr>
      <w:tr w:rsidR="003A1800" w:rsidRPr="00EE375C" w:rsidTr="003F2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rPr>
                <w:b w:val="0"/>
                <w:bCs w:val="0"/>
                <w:color w:val="auto"/>
              </w:rPr>
            </w:pP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Actual</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4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12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Actual</w:t>
            </w:r>
          </w:p>
        </w:tc>
        <w:tc>
          <w:tcPr>
            <w:tcW w:w="939"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4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E375C">
              <w:t>12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Actual</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4 hr forecast</w:t>
            </w:r>
          </w:p>
        </w:tc>
        <w:tc>
          <w:tcPr>
            <w:tcW w:w="939"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E375C">
              <w:t>12 hr forecast</w:t>
            </w:r>
          </w:p>
        </w:tc>
      </w:tr>
      <w:tr w:rsidR="003A1800" w:rsidRPr="003F2B11" w:rsidTr="003F2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shd w:val="clear" w:color="auto" w:fill="DDD9C3"/>
            <w:vAlign w:val="center"/>
          </w:tcPr>
          <w:p w:rsidR="003A1800" w:rsidRPr="003F2B11" w:rsidRDefault="003A1800" w:rsidP="003F2B11">
            <w:pPr>
              <w:pStyle w:val="AERtabletext-numbers"/>
              <w:jc w:val="center"/>
              <w:rPr>
                <w:b w:val="0"/>
                <w:bCs w:val="0"/>
              </w:rPr>
            </w:pPr>
            <w:r w:rsidRPr="003F2B11">
              <w:rPr>
                <w:b w:val="0"/>
              </w:rPr>
              <w:t>4</w:t>
            </w:r>
            <w:r w:rsidR="003F2B11" w:rsidRPr="003F2B11">
              <w:rPr>
                <w:b w:val="0"/>
              </w:rPr>
              <w:t>.</w:t>
            </w:r>
            <w:r w:rsidRPr="003F2B11">
              <w:rPr>
                <w:b w:val="0"/>
              </w:rPr>
              <w:t>30 PM</w:t>
            </w:r>
          </w:p>
        </w:tc>
        <w:tc>
          <w:tcPr>
            <w:tcW w:w="938" w:type="dxa"/>
            <w:tcBorders>
              <w:left w:val="none" w:sz="0" w:space="0" w:color="auto"/>
              <w:right w:val="none" w:sz="0" w:space="0" w:color="auto"/>
            </w:tcBorders>
            <w:shd w:val="clear" w:color="auto" w:fill="DDD9C3"/>
            <w:vAlign w:val="center"/>
          </w:tcPr>
          <w:p w:rsidR="003A1800" w:rsidRPr="003F2B11" w:rsidRDefault="003A1800" w:rsidP="003F2B11">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2390.35</w:t>
            </w:r>
          </w:p>
        </w:tc>
        <w:tc>
          <w:tcPr>
            <w:tcW w:w="938" w:type="dxa"/>
            <w:tcBorders>
              <w:left w:val="none" w:sz="0" w:space="0" w:color="auto"/>
              <w:right w:val="none" w:sz="0" w:space="0" w:color="auto"/>
            </w:tcBorders>
            <w:shd w:val="clear" w:color="auto" w:fill="DDD9C3"/>
            <w:vAlign w:val="center"/>
          </w:tcPr>
          <w:p w:rsidR="003A1800" w:rsidRPr="003F2B11" w:rsidRDefault="003A1800" w:rsidP="003F2B11">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199.99</w:t>
            </w:r>
          </w:p>
        </w:tc>
        <w:tc>
          <w:tcPr>
            <w:tcW w:w="938" w:type="dxa"/>
            <w:tcBorders>
              <w:left w:val="none" w:sz="0" w:space="0" w:color="auto"/>
              <w:right w:val="none" w:sz="0" w:space="0" w:color="auto"/>
            </w:tcBorders>
            <w:shd w:val="clear" w:color="auto" w:fill="DDD9C3"/>
            <w:vAlign w:val="center"/>
          </w:tcPr>
          <w:p w:rsidR="003A1800" w:rsidRPr="003F2B11" w:rsidRDefault="003A1800" w:rsidP="003F2B11">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200.24</w:t>
            </w:r>
          </w:p>
        </w:tc>
        <w:tc>
          <w:tcPr>
            <w:tcW w:w="938" w:type="dxa"/>
            <w:tcBorders>
              <w:left w:val="none" w:sz="0" w:space="0" w:color="auto"/>
              <w:right w:val="none" w:sz="0" w:space="0" w:color="auto"/>
            </w:tcBorders>
            <w:shd w:val="clear" w:color="auto" w:fill="DDD9C3"/>
            <w:vAlign w:val="center"/>
          </w:tcPr>
          <w:p w:rsidR="003A1800" w:rsidRPr="003F2B11" w:rsidRDefault="003A1800" w:rsidP="003F2B11">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2561</w:t>
            </w:r>
          </w:p>
        </w:tc>
        <w:tc>
          <w:tcPr>
            <w:tcW w:w="939" w:type="dxa"/>
            <w:tcBorders>
              <w:left w:val="none" w:sz="0" w:space="0" w:color="auto"/>
              <w:right w:val="none" w:sz="0" w:space="0" w:color="auto"/>
            </w:tcBorders>
            <w:shd w:val="clear" w:color="auto" w:fill="DDD9C3"/>
            <w:vAlign w:val="center"/>
          </w:tcPr>
          <w:p w:rsidR="003A1800" w:rsidRPr="003F2B11" w:rsidRDefault="003A1800" w:rsidP="003F2B11">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2404</w:t>
            </w:r>
          </w:p>
        </w:tc>
        <w:tc>
          <w:tcPr>
            <w:tcW w:w="938" w:type="dxa"/>
            <w:tcBorders>
              <w:left w:val="none" w:sz="0" w:space="0" w:color="auto"/>
              <w:right w:val="none" w:sz="0" w:space="0" w:color="auto"/>
            </w:tcBorders>
            <w:shd w:val="clear" w:color="auto" w:fill="DDD9C3"/>
            <w:vAlign w:val="center"/>
          </w:tcPr>
          <w:p w:rsidR="003A1800" w:rsidRPr="003F2B11" w:rsidRDefault="003A1800" w:rsidP="003F2B11">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2530</w:t>
            </w:r>
          </w:p>
        </w:tc>
        <w:tc>
          <w:tcPr>
            <w:tcW w:w="938" w:type="dxa"/>
            <w:tcBorders>
              <w:left w:val="none" w:sz="0" w:space="0" w:color="auto"/>
              <w:right w:val="none" w:sz="0" w:space="0" w:color="auto"/>
            </w:tcBorders>
            <w:shd w:val="clear" w:color="auto" w:fill="DDD9C3"/>
            <w:vAlign w:val="center"/>
          </w:tcPr>
          <w:p w:rsidR="003A1800" w:rsidRPr="003F2B11" w:rsidRDefault="003A1800" w:rsidP="003F2B11">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2956</w:t>
            </w:r>
          </w:p>
        </w:tc>
        <w:tc>
          <w:tcPr>
            <w:tcW w:w="938" w:type="dxa"/>
            <w:tcBorders>
              <w:left w:val="none" w:sz="0" w:space="0" w:color="auto"/>
              <w:right w:val="none" w:sz="0" w:space="0" w:color="auto"/>
            </w:tcBorders>
            <w:shd w:val="clear" w:color="auto" w:fill="DDD9C3"/>
            <w:vAlign w:val="center"/>
          </w:tcPr>
          <w:p w:rsidR="003A1800" w:rsidRPr="003F2B11" w:rsidRDefault="003A1800" w:rsidP="003F2B11">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3022</w:t>
            </w:r>
          </w:p>
        </w:tc>
        <w:tc>
          <w:tcPr>
            <w:tcW w:w="939" w:type="dxa"/>
            <w:tcBorders>
              <w:left w:val="none" w:sz="0" w:space="0" w:color="auto"/>
            </w:tcBorders>
            <w:shd w:val="clear" w:color="auto" w:fill="DDD9C3"/>
            <w:vAlign w:val="center"/>
          </w:tcPr>
          <w:p w:rsidR="003A1800" w:rsidRPr="003F2B11" w:rsidRDefault="003A1800" w:rsidP="003F2B11">
            <w:pPr>
              <w:spacing w:line="240" w:lineRule="auto"/>
              <w:jc w:val="center"/>
              <w:cnfStyle w:val="000000100000" w:firstRow="0" w:lastRow="0" w:firstColumn="0" w:lastColumn="0" w:oddVBand="0" w:evenVBand="0" w:oddHBand="1" w:evenHBand="0" w:firstRowFirstColumn="0" w:firstRowLastColumn="0" w:lastRowFirstColumn="0" w:lastRowLastColumn="0"/>
              <w:rPr>
                <w:rFonts w:cs="Gautami"/>
                <w:color w:val="000000"/>
                <w:sz w:val="16"/>
                <w:szCs w:val="16"/>
              </w:rPr>
            </w:pPr>
            <w:r w:rsidRPr="003F2B11">
              <w:rPr>
                <w:rFonts w:cs="Gautami"/>
                <w:color w:val="000000"/>
                <w:sz w:val="16"/>
                <w:szCs w:val="16"/>
              </w:rPr>
              <w:t>2878</w:t>
            </w:r>
          </w:p>
        </w:tc>
      </w:tr>
    </w:tbl>
    <w:p w:rsidR="00BA7A0E" w:rsidRDefault="00BA7A0E" w:rsidP="0040603A">
      <w:pPr>
        <w:spacing w:before="100" w:beforeAutospacing="1" w:after="100" w:afterAutospacing="1"/>
        <w:rPr>
          <w:lang w:eastAsia="en-US"/>
        </w:rPr>
      </w:pPr>
    </w:p>
    <w:p w:rsidR="00557095" w:rsidRPr="00557095" w:rsidRDefault="00557095" w:rsidP="0040603A">
      <w:pPr>
        <w:spacing w:before="100" w:beforeAutospacing="1" w:after="100" w:afterAutospacing="1"/>
        <w:rPr>
          <w:lang w:eastAsia="en-US"/>
        </w:rPr>
      </w:pPr>
      <w:r w:rsidRPr="00557095">
        <w:rPr>
          <w:lang w:eastAsia="en-US"/>
        </w:rPr>
        <w:t xml:space="preserve">Conditions at the time saw demand 157 MW higher than that forecast four hours ahead, while available capacity was close to forecast. </w:t>
      </w:r>
    </w:p>
    <w:p w:rsidR="00557095" w:rsidRPr="00557095" w:rsidRDefault="001032E7" w:rsidP="00494A75">
      <w:pPr>
        <w:spacing w:before="100" w:beforeAutospacing="1" w:after="100" w:afterAutospacing="1"/>
        <w:rPr>
          <w:lang w:eastAsia="en-US"/>
        </w:rPr>
      </w:pPr>
      <w:r>
        <w:rPr>
          <w:lang w:eastAsia="en-US"/>
        </w:rPr>
        <w:t>T</w:t>
      </w:r>
      <w:r w:rsidR="00D50287">
        <w:rPr>
          <w:lang w:eastAsia="en-US"/>
        </w:rPr>
        <w:t>he</w:t>
      </w:r>
      <w:r w:rsidR="00557095" w:rsidRPr="00557095">
        <w:rPr>
          <w:lang w:eastAsia="en-US"/>
        </w:rPr>
        <w:t xml:space="preserve"> temperature </w:t>
      </w:r>
      <w:r w:rsidR="00242916">
        <w:rPr>
          <w:lang w:eastAsia="en-US"/>
        </w:rPr>
        <w:t xml:space="preserve">on 18 December </w:t>
      </w:r>
      <w:r w:rsidR="00D50287">
        <w:rPr>
          <w:lang w:eastAsia="en-US"/>
        </w:rPr>
        <w:t>exceeded</w:t>
      </w:r>
      <w:r w:rsidR="00557095" w:rsidRPr="00557095">
        <w:rPr>
          <w:lang w:eastAsia="en-US"/>
        </w:rPr>
        <w:t xml:space="preserve"> 40 degrees</w:t>
      </w:r>
      <w:r w:rsidR="00D50287">
        <w:rPr>
          <w:lang w:eastAsia="en-US"/>
        </w:rPr>
        <w:t xml:space="preserve"> in South Australia</w:t>
      </w:r>
      <w:r w:rsidR="00242916">
        <w:rPr>
          <w:lang w:eastAsia="en-US"/>
        </w:rPr>
        <w:t>,</w:t>
      </w:r>
      <w:r w:rsidR="00D50287">
        <w:rPr>
          <w:lang w:eastAsia="en-US"/>
        </w:rPr>
        <w:t xml:space="preserve"> </w:t>
      </w:r>
      <w:r w:rsidR="00242916">
        <w:rPr>
          <w:lang w:eastAsia="en-US"/>
        </w:rPr>
        <w:t xml:space="preserve">having been in the high 30s on the preceding day, </w:t>
      </w:r>
      <w:r w:rsidR="00D50287">
        <w:rPr>
          <w:lang w:eastAsia="en-US"/>
        </w:rPr>
        <w:t xml:space="preserve">resulting in </w:t>
      </w:r>
      <w:r>
        <w:rPr>
          <w:lang w:eastAsia="en-US"/>
        </w:rPr>
        <w:t xml:space="preserve">very </w:t>
      </w:r>
      <w:r w:rsidR="00D50287">
        <w:rPr>
          <w:lang w:eastAsia="en-US"/>
        </w:rPr>
        <w:t>high demand</w:t>
      </w:r>
      <w:r w:rsidR="00557095" w:rsidRPr="00557095">
        <w:rPr>
          <w:lang w:eastAsia="en-US"/>
        </w:rPr>
        <w:t>.</w:t>
      </w:r>
      <w:r w:rsidR="001B24BE">
        <w:rPr>
          <w:lang w:eastAsia="en-US"/>
        </w:rPr>
        <w:t xml:space="preserve"> </w:t>
      </w:r>
      <w:r w:rsidR="00D50287">
        <w:rPr>
          <w:lang w:eastAsia="en-US"/>
        </w:rPr>
        <w:t xml:space="preserve">At the time of high prices there was </w:t>
      </w:r>
      <w:r w:rsidR="00D50287" w:rsidRPr="00494A75">
        <w:rPr>
          <w:lang w:eastAsia="en-US"/>
        </w:rPr>
        <w:t xml:space="preserve">no </w:t>
      </w:r>
      <w:r>
        <w:rPr>
          <w:lang w:eastAsia="en-US"/>
        </w:rPr>
        <w:t xml:space="preserve">generator </w:t>
      </w:r>
      <w:r w:rsidR="00D50287" w:rsidRPr="00494A75">
        <w:rPr>
          <w:lang w:eastAsia="en-US"/>
        </w:rPr>
        <w:t xml:space="preserve">capacity being offered </w:t>
      </w:r>
      <w:r w:rsidR="00A75F15">
        <w:rPr>
          <w:lang w:eastAsia="en-US"/>
        </w:rPr>
        <w:t xml:space="preserve">at prices </w:t>
      </w:r>
      <w:r w:rsidR="00D50287" w:rsidRPr="00494A75">
        <w:rPr>
          <w:lang w:eastAsia="en-US"/>
        </w:rPr>
        <w:t>between $300/MWh and $10</w:t>
      </w:r>
      <w:r w:rsidR="00D50287">
        <w:rPr>
          <w:lang w:eastAsia="en-US"/>
        </w:rPr>
        <w:t> 5</w:t>
      </w:r>
      <w:r w:rsidR="00D50287" w:rsidRPr="00494A75">
        <w:rPr>
          <w:lang w:eastAsia="en-US"/>
        </w:rPr>
        <w:t>00/MWh</w:t>
      </w:r>
      <w:r w:rsidR="0009523F">
        <w:rPr>
          <w:lang w:eastAsia="en-US"/>
        </w:rPr>
        <w:t>.</w:t>
      </w:r>
    </w:p>
    <w:p w:rsidR="00557095" w:rsidRPr="00557095" w:rsidRDefault="00557095" w:rsidP="00494A75">
      <w:pPr>
        <w:spacing w:before="100" w:beforeAutospacing="1" w:after="100" w:afterAutospacing="1"/>
        <w:rPr>
          <w:lang w:eastAsia="en-US"/>
        </w:rPr>
      </w:pPr>
      <w:r w:rsidRPr="00557095">
        <w:rPr>
          <w:lang w:eastAsia="en-US"/>
        </w:rPr>
        <w:t xml:space="preserve">At 4.19 pm, effective </w:t>
      </w:r>
      <w:r w:rsidR="001B24BE">
        <w:rPr>
          <w:lang w:eastAsia="en-US"/>
        </w:rPr>
        <w:t>for the</w:t>
      </w:r>
      <w:r w:rsidR="001B24BE" w:rsidRPr="00557095">
        <w:rPr>
          <w:lang w:eastAsia="en-US"/>
        </w:rPr>
        <w:t xml:space="preserve"> </w:t>
      </w:r>
      <w:r w:rsidRPr="00557095">
        <w:rPr>
          <w:lang w:eastAsia="en-US"/>
        </w:rPr>
        <w:t>4.30 pm</w:t>
      </w:r>
      <w:r w:rsidR="001B24BE">
        <w:rPr>
          <w:lang w:eastAsia="en-US"/>
        </w:rPr>
        <w:t xml:space="preserve"> dispatch interval only</w:t>
      </w:r>
      <w:r w:rsidRPr="00557095">
        <w:rPr>
          <w:lang w:eastAsia="en-US"/>
        </w:rPr>
        <w:t xml:space="preserve">, AGL rebid 120 MW of capacity at Torrens Island B from $200/MWh to </w:t>
      </w:r>
      <w:r w:rsidR="00494A75">
        <w:rPr>
          <w:lang w:eastAsia="en-US"/>
        </w:rPr>
        <w:t>the price cap</w:t>
      </w:r>
      <w:r w:rsidRPr="00557095">
        <w:rPr>
          <w:lang w:eastAsia="en-US"/>
        </w:rPr>
        <w:t>. The reason given for the rebid was “16:15A chg in dispatch::increase vs 16:05 5pd $299 vs $199”.</w:t>
      </w:r>
    </w:p>
    <w:p w:rsidR="00557095" w:rsidRPr="00557095" w:rsidRDefault="00557095" w:rsidP="00494A75">
      <w:pPr>
        <w:spacing w:before="100" w:beforeAutospacing="1" w:after="100" w:afterAutospacing="1"/>
        <w:rPr>
          <w:lang w:eastAsia="en-US"/>
        </w:rPr>
      </w:pPr>
      <w:r w:rsidRPr="00557095">
        <w:rPr>
          <w:lang w:eastAsia="en-US"/>
        </w:rPr>
        <w:t xml:space="preserve">The </w:t>
      </w:r>
      <w:r w:rsidR="00D50287">
        <w:rPr>
          <w:lang w:eastAsia="en-US"/>
        </w:rPr>
        <w:t>5 minut</w:t>
      </w:r>
      <w:r w:rsidR="001B24BE">
        <w:rPr>
          <w:lang w:eastAsia="en-US"/>
        </w:rPr>
        <w:t>e</w:t>
      </w:r>
      <w:r w:rsidR="00D50287" w:rsidRPr="00557095">
        <w:rPr>
          <w:lang w:eastAsia="en-US"/>
        </w:rPr>
        <w:t xml:space="preserve"> </w:t>
      </w:r>
      <w:r w:rsidRPr="00557095">
        <w:rPr>
          <w:lang w:eastAsia="en-US"/>
        </w:rPr>
        <w:t xml:space="preserve">price increased </w:t>
      </w:r>
      <w:r w:rsidR="00D50287">
        <w:rPr>
          <w:lang w:eastAsia="en-US"/>
        </w:rPr>
        <w:t xml:space="preserve">from $243/MWh at 4.25 pm </w:t>
      </w:r>
      <w:r w:rsidRPr="00557095">
        <w:rPr>
          <w:lang w:eastAsia="en-US"/>
        </w:rPr>
        <w:t xml:space="preserve">to $13 100/MWh at 4.30 pm </w:t>
      </w:r>
      <w:r w:rsidR="001B24BE">
        <w:rPr>
          <w:lang w:eastAsia="en-US"/>
        </w:rPr>
        <w:t>with Torrens Island setting the price. At 4.</w:t>
      </w:r>
      <w:r w:rsidR="001B24BE" w:rsidRPr="00494A75">
        <w:t>35</w:t>
      </w:r>
      <w:r w:rsidR="001B24BE">
        <w:t> pm prices returned to previous levels as AGL’s rebid was no longer effective.</w:t>
      </w:r>
    </w:p>
    <w:p w:rsidR="00557095" w:rsidRPr="00557095" w:rsidRDefault="00557095" w:rsidP="00494A75">
      <w:pPr>
        <w:spacing w:before="100" w:beforeAutospacing="1" w:after="100" w:afterAutospacing="1"/>
        <w:rPr>
          <w:lang w:eastAsia="en-US"/>
        </w:rPr>
      </w:pPr>
      <w:r w:rsidRPr="00557095">
        <w:rPr>
          <w:lang w:eastAsia="en-US"/>
        </w:rPr>
        <w:t>There was no other significant rebidding.</w:t>
      </w:r>
    </w:p>
    <w:p w:rsidR="00557095" w:rsidRPr="00470218" w:rsidRDefault="00557095" w:rsidP="00557095">
      <w:pPr>
        <w:pStyle w:val="AERtabletitle"/>
      </w:pPr>
      <w:r>
        <w:t>Table 7</w:t>
      </w:r>
      <w:r w:rsidRPr="00470218">
        <w:t xml:space="preserve">: </w:t>
      </w:r>
      <w:r>
        <w:t>South Australia</w:t>
      </w:r>
      <w:r w:rsidRPr="00470218">
        <w:t>,</w:t>
      </w:r>
      <w:r>
        <w:t xml:space="preserve"> Thursday</w:t>
      </w:r>
      <w:r w:rsidRPr="00470218">
        <w:t> </w:t>
      </w:r>
      <w:r>
        <w:t>19 December</w:t>
      </w:r>
      <w:r w:rsidR="003F2B11">
        <w:t xml:space="preserve"> 2.30 PM to 6.00 PM</w:t>
      </w:r>
    </w:p>
    <w:tbl>
      <w:tblPr>
        <w:tblStyle w:val="MediumShading1-Accent11"/>
        <w:tblW w:w="932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78"/>
        <w:gridCol w:w="938"/>
        <w:gridCol w:w="938"/>
        <w:gridCol w:w="938"/>
        <w:gridCol w:w="938"/>
        <w:gridCol w:w="939"/>
        <w:gridCol w:w="938"/>
        <w:gridCol w:w="938"/>
        <w:gridCol w:w="938"/>
        <w:gridCol w:w="939"/>
      </w:tblGrid>
      <w:tr w:rsidR="003A1800" w:rsidRPr="00EE375C" w:rsidTr="003F2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rPr>
                <w:b w:val="0"/>
                <w:bCs w:val="0"/>
                <w:color w:val="auto"/>
              </w:rPr>
            </w:pPr>
            <w:r>
              <w:t>Time</w:t>
            </w:r>
          </w:p>
        </w:tc>
        <w:tc>
          <w:tcPr>
            <w:tcW w:w="2814"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Price ($/MWh)</w:t>
            </w:r>
          </w:p>
        </w:tc>
        <w:tc>
          <w:tcPr>
            <w:tcW w:w="2815"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Demand (MW)</w:t>
            </w:r>
          </w:p>
        </w:tc>
        <w:tc>
          <w:tcPr>
            <w:tcW w:w="2815" w:type="dxa"/>
            <w:gridSpan w:val="3"/>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Availability (MW)</w:t>
            </w:r>
          </w:p>
        </w:tc>
      </w:tr>
      <w:tr w:rsidR="003A1800" w:rsidRPr="00EE375C" w:rsidTr="003F2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rPr>
                <w:b w:val="0"/>
                <w:bCs w:val="0"/>
                <w:color w:val="auto"/>
              </w:rPr>
            </w:pP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Actual</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4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12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Actual</w:t>
            </w:r>
          </w:p>
        </w:tc>
        <w:tc>
          <w:tcPr>
            <w:tcW w:w="939"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4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E375C">
              <w:t>12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Actual</w:t>
            </w:r>
          </w:p>
        </w:tc>
        <w:tc>
          <w:tcPr>
            <w:tcW w:w="938"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4 hr forecast</w:t>
            </w:r>
          </w:p>
        </w:tc>
        <w:tc>
          <w:tcPr>
            <w:tcW w:w="939" w:type="dxa"/>
            <w:tcBorders>
              <w:top w:val="none" w:sz="0" w:space="0" w:color="auto"/>
              <w:left w:val="none" w:sz="0" w:space="0" w:color="auto"/>
              <w:bottom w:val="none" w:sz="0" w:space="0" w:color="auto"/>
              <w:right w:val="none" w:sz="0" w:space="0" w:color="auto"/>
            </w:tcBorders>
            <w:shd w:val="clear" w:color="auto" w:fill="4A442A"/>
          </w:tcPr>
          <w:p w:rsidR="003A1800" w:rsidRDefault="003A1800"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E375C">
              <w:t>12 hr forecast</w:t>
            </w:r>
          </w:p>
        </w:tc>
      </w:tr>
      <w:tr w:rsidR="003A1800" w:rsidRPr="0065265F" w:rsidTr="003F2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shd w:val="clear" w:color="auto" w:fill="DDD9C3"/>
          </w:tcPr>
          <w:p w:rsidR="003A1800" w:rsidRPr="0065265F" w:rsidRDefault="003F2B11" w:rsidP="0065265F">
            <w:pPr>
              <w:pStyle w:val="AERtabletextheading"/>
              <w:jc w:val="center"/>
              <w:rPr>
                <w:bCs w:val="0"/>
              </w:rPr>
            </w:pPr>
            <w:r w:rsidRPr="0065265F">
              <w:t>2.</w:t>
            </w:r>
            <w:r w:rsidR="003A1800" w:rsidRPr="0065265F">
              <w:t>30 PM</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2539.54</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90.8</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109.8</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2542</w:t>
            </w:r>
          </w:p>
        </w:tc>
        <w:tc>
          <w:tcPr>
            <w:tcW w:w="939"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2448</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2555</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3091</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3050</w:t>
            </w:r>
          </w:p>
        </w:tc>
        <w:tc>
          <w:tcPr>
            <w:tcW w:w="939" w:type="dxa"/>
            <w:tcBorders>
              <w:lef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3100</w:t>
            </w:r>
          </w:p>
        </w:tc>
      </w:tr>
      <w:tr w:rsidR="003A1800" w:rsidRPr="0065265F" w:rsidTr="003F2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tcPr>
          <w:p w:rsidR="003A1800" w:rsidRPr="0065265F" w:rsidRDefault="003F2B11" w:rsidP="0065265F">
            <w:pPr>
              <w:pStyle w:val="AERtabletextheading"/>
              <w:jc w:val="center"/>
              <w:rPr>
                <w:bCs w:val="0"/>
              </w:rPr>
            </w:pPr>
            <w:r w:rsidRPr="0065265F">
              <w:t>3.</w:t>
            </w:r>
            <w:r w:rsidR="003A1800" w:rsidRPr="0065265F">
              <w:t>00 PM</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2241.2</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110.05</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118.93</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2580</w:t>
            </w:r>
          </w:p>
        </w:tc>
        <w:tc>
          <w:tcPr>
            <w:tcW w:w="939"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2503</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2573</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3064</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3029</w:t>
            </w:r>
          </w:p>
        </w:tc>
        <w:tc>
          <w:tcPr>
            <w:tcW w:w="939" w:type="dxa"/>
            <w:tcBorders>
              <w:lef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3086</w:t>
            </w:r>
          </w:p>
        </w:tc>
      </w:tr>
      <w:tr w:rsidR="003A1800" w:rsidRPr="0065265F" w:rsidTr="003F2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shd w:val="clear" w:color="auto" w:fill="DDD9C3"/>
          </w:tcPr>
          <w:p w:rsidR="003A1800" w:rsidRPr="0065265F" w:rsidRDefault="003F2B11" w:rsidP="0065265F">
            <w:pPr>
              <w:pStyle w:val="AERtabletextheading"/>
              <w:jc w:val="center"/>
              <w:rPr>
                <w:bCs w:val="0"/>
              </w:rPr>
            </w:pPr>
            <w:r w:rsidRPr="0065265F">
              <w:t>3.</w:t>
            </w:r>
            <w:r w:rsidR="003A1800" w:rsidRPr="0065265F">
              <w:t>30 PM</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4125.81</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199.99</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199.99</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2610</w:t>
            </w:r>
          </w:p>
        </w:tc>
        <w:tc>
          <w:tcPr>
            <w:tcW w:w="939"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2562</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2601</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3031</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3087</w:t>
            </w:r>
          </w:p>
        </w:tc>
        <w:tc>
          <w:tcPr>
            <w:tcW w:w="939" w:type="dxa"/>
            <w:tcBorders>
              <w:lef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3068</w:t>
            </w:r>
          </w:p>
        </w:tc>
      </w:tr>
      <w:tr w:rsidR="003A1800" w:rsidRPr="0065265F" w:rsidTr="003F2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tcPr>
          <w:p w:rsidR="003A1800" w:rsidRPr="0065265F" w:rsidRDefault="003F2B11" w:rsidP="0065265F">
            <w:pPr>
              <w:pStyle w:val="AERtabletextheading"/>
              <w:jc w:val="center"/>
              <w:rPr>
                <w:bCs w:val="0"/>
              </w:rPr>
            </w:pPr>
            <w:r w:rsidRPr="0065265F">
              <w:t>4.</w:t>
            </w:r>
            <w:r w:rsidR="003A1800" w:rsidRPr="0065265F">
              <w:t>00 PM</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10 627.00</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299.81</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199.99</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2621</w:t>
            </w:r>
          </w:p>
        </w:tc>
        <w:tc>
          <w:tcPr>
            <w:tcW w:w="939"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2614</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2620</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3026</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3077</w:t>
            </w:r>
          </w:p>
        </w:tc>
        <w:tc>
          <w:tcPr>
            <w:tcW w:w="939" w:type="dxa"/>
            <w:tcBorders>
              <w:lef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3054</w:t>
            </w:r>
          </w:p>
        </w:tc>
      </w:tr>
      <w:tr w:rsidR="003A1800" w:rsidRPr="0065265F" w:rsidTr="003F2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shd w:val="clear" w:color="auto" w:fill="DDD9C3"/>
          </w:tcPr>
          <w:p w:rsidR="003A1800" w:rsidRPr="0065265F" w:rsidRDefault="003F2B11" w:rsidP="0065265F">
            <w:pPr>
              <w:pStyle w:val="AERtabletextheading"/>
              <w:jc w:val="center"/>
              <w:rPr>
                <w:bCs w:val="0"/>
              </w:rPr>
            </w:pPr>
            <w:r w:rsidRPr="0065265F">
              <w:t>4.</w:t>
            </w:r>
            <w:r w:rsidR="003A1800" w:rsidRPr="0065265F">
              <w:t>30 PM</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5639.52</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299.81</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199.99</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2634</w:t>
            </w:r>
          </w:p>
        </w:tc>
        <w:tc>
          <w:tcPr>
            <w:tcW w:w="939"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2712</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2643</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3079</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3079</w:t>
            </w:r>
          </w:p>
        </w:tc>
        <w:tc>
          <w:tcPr>
            <w:tcW w:w="939" w:type="dxa"/>
            <w:tcBorders>
              <w:lef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3059</w:t>
            </w:r>
          </w:p>
        </w:tc>
      </w:tr>
      <w:tr w:rsidR="003A1800" w:rsidRPr="0065265F" w:rsidTr="003F2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tcPr>
          <w:p w:rsidR="003A1800" w:rsidRPr="0065265F" w:rsidRDefault="003F2B11" w:rsidP="0065265F">
            <w:pPr>
              <w:pStyle w:val="AERtabletextheading"/>
              <w:jc w:val="center"/>
              <w:rPr>
                <w:bCs w:val="0"/>
              </w:rPr>
            </w:pPr>
            <w:r w:rsidRPr="0065265F">
              <w:t>5.</w:t>
            </w:r>
            <w:r w:rsidR="003A1800" w:rsidRPr="0065265F">
              <w:t>00 PM</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1868.2</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199.99</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199.99</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2682</w:t>
            </w:r>
          </w:p>
        </w:tc>
        <w:tc>
          <w:tcPr>
            <w:tcW w:w="939"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2734</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2627</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3212</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3054</w:t>
            </w:r>
          </w:p>
        </w:tc>
        <w:tc>
          <w:tcPr>
            <w:tcW w:w="939" w:type="dxa"/>
            <w:tcBorders>
              <w:lef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3042</w:t>
            </w:r>
          </w:p>
        </w:tc>
      </w:tr>
      <w:tr w:rsidR="003A1800" w:rsidRPr="0065265F" w:rsidTr="003F2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shd w:val="clear" w:color="auto" w:fill="DDD9C3"/>
          </w:tcPr>
          <w:p w:rsidR="003A1800" w:rsidRPr="0065265F" w:rsidRDefault="003F2B11" w:rsidP="0065265F">
            <w:pPr>
              <w:pStyle w:val="AERtabletextheading"/>
              <w:jc w:val="center"/>
              <w:rPr>
                <w:bCs w:val="0"/>
              </w:rPr>
            </w:pPr>
            <w:r w:rsidRPr="0065265F">
              <w:t>5.</w:t>
            </w:r>
            <w:r w:rsidR="003A1800" w:rsidRPr="0065265F">
              <w:t>30 PM</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4427.2</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299.81</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199.99</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2692</w:t>
            </w:r>
          </w:p>
        </w:tc>
        <w:tc>
          <w:tcPr>
            <w:tcW w:w="939"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2765</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2579</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3257</w:t>
            </w:r>
          </w:p>
        </w:tc>
        <w:tc>
          <w:tcPr>
            <w:tcW w:w="938" w:type="dxa"/>
            <w:tcBorders>
              <w:left w:val="none" w:sz="0" w:space="0" w:color="auto"/>
              <w:righ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3051</w:t>
            </w:r>
          </w:p>
        </w:tc>
        <w:tc>
          <w:tcPr>
            <w:tcW w:w="939" w:type="dxa"/>
            <w:tcBorders>
              <w:left w:val="none" w:sz="0" w:space="0" w:color="auto"/>
            </w:tcBorders>
            <w:shd w:val="clear" w:color="auto" w:fill="DDD9C3"/>
            <w:vAlign w:val="center"/>
          </w:tcPr>
          <w:p w:rsidR="003A1800" w:rsidRPr="0065265F" w:rsidRDefault="003A1800" w:rsidP="0065265F">
            <w:pPr>
              <w:pStyle w:val="AERtabletextheading"/>
              <w:jc w:val="center"/>
              <w:cnfStyle w:val="000000100000" w:firstRow="0" w:lastRow="0" w:firstColumn="0" w:lastColumn="0" w:oddVBand="0" w:evenVBand="0" w:oddHBand="1" w:evenHBand="0" w:firstRowFirstColumn="0" w:firstRowLastColumn="0" w:lastRowFirstColumn="0" w:lastRowLastColumn="0"/>
              <w:rPr>
                <w:b w:val="0"/>
              </w:rPr>
            </w:pPr>
            <w:r w:rsidRPr="0065265F">
              <w:rPr>
                <w:b w:val="0"/>
              </w:rPr>
              <w:t>3057</w:t>
            </w:r>
          </w:p>
        </w:tc>
      </w:tr>
      <w:tr w:rsidR="003A1800" w:rsidRPr="0065265F" w:rsidTr="003F2B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tcPr>
          <w:p w:rsidR="003A1800" w:rsidRPr="0065265F" w:rsidRDefault="003F2B11" w:rsidP="0065265F">
            <w:pPr>
              <w:pStyle w:val="AERtabletextheading"/>
              <w:jc w:val="center"/>
              <w:rPr>
                <w:bCs w:val="0"/>
              </w:rPr>
            </w:pPr>
            <w:r w:rsidRPr="0065265F">
              <w:t>6.</w:t>
            </w:r>
            <w:r w:rsidR="003A1800" w:rsidRPr="0065265F">
              <w:t>00 PM</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1928.8</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199.99</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197.32</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2671</w:t>
            </w:r>
          </w:p>
        </w:tc>
        <w:tc>
          <w:tcPr>
            <w:tcW w:w="939"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2721</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2546</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3219</w:t>
            </w:r>
          </w:p>
        </w:tc>
        <w:tc>
          <w:tcPr>
            <w:tcW w:w="938" w:type="dxa"/>
            <w:tcBorders>
              <w:left w:val="none" w:sz="0" w:space="0" w:color="auto"/>
              <w:righ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3063</w:t>
            </w:r>
          </w:p>
        </w:tc>
        <w:tc>
          <w:tcPr>
            <w:tcW w:w="939" w:type="dxa"/>
            <w:tcBorders>
              <w:left w:val="none" w:sz="0" w:space="0" w:color="auto"/>
            </w:tcBorders>
            <w:vAlign w:val="center"/>
          </w:tcPr>
          <w:p w:rsidR="003A1800" w:rsidRPr="0065265F" w:rsidRDefault="003A1800" w:rsidP="0065265F">
            <w:pPr>
              <w:pStyle w:val="AERtabletextheading"/>
              <w:jc w:val="center"/>
              <w:cnfStyle w:val="000000010000" w:firstRow="0" w:lastRow="0" w:firstColumn="0" w:lastColumn="0" w:oddVBand="0" w:evenVBand="0" w:oddHBand="0" w:evenHBand="1" w:firstRowFirstColumn="0" w:firstRowLastColumn="0" w:lastRowFirstColumn="0" w:lastRowLastColumn="0"/>
              <w:rPr>
                <w:b w:val="0"/>
              </w:rPr>
            </w:pPr>
            <w:r w:rsidRPr="0065265F">
              <w:rPr>
                <w:b w:val="0"/>
              </w:rPr>
              <w:t>3064</w:t>
            </w:r>
          </w:p>
        </w:tc>
      </w:tr>
    </w:tbl>
    <w:p w:rsidR="003A1800" w:rsidRDefault="003A1800" w:rsidP="0065265F">
      <w:pPr>
        <w:spacing w:before="100" w:beforeAutospacing="1" w:after="100" w:afterAutospacing="1"/>
        <w:jc w:val="center"/>
        <w:rPr>
          <w:lang w:eastAsia="en-US"/>
        </w:rPr>
      </w:pPr>
    </w:p>
    <w:p w:rsidR="00557095" w:rsidRDefault="00557095" w:rsidP="000132AC">
      <w:pPr>
        <w:spacing w:before="100" w:beforeAutospacing="1" w:after="100" w:afterAutospacing="1"/>
        <w:rPr>
          <w:lang w:eastAsia="en-US"/>
        </w:rPr>
      </w:pPr>
      <w:r w:rsidRPr="00557095">
        <w:rPr>
          <w:lang w:eastAsia="en-US"/>
        </w:rPr>
        <w:t>In accordance with clause 3.13.7 of the Electricity Rules, the AER will issue a separate report</w:t>
      </w:r>
      <w:r>
        <w:rPr>
          <w:lang w:eastAsia="en-US"/>
        </w:rPr>
        <w:t xml:space="preserve"> </w:t>
      </w:r>
      <w:r w:rsidRPr="00557095">
        <w:rPr>
          <w:lang w:eastAsia="en-US"/>
        </w:rPr>
        <w:t>into the circumstances that led to the spot price exceeding $5000/MWh. The report will also</w:t>
      </w:r>
      <w:r>
        <w:rPr>
          <w:lang w:eastAsia="en-US"/>
        </w:rPr>
        <w:t xml:space="preserve"> </w:t>
      </w:r>
      <w:r w:rsidRPr="00557095">
        <w:rPr>
          <w:lang w:eastAsia="en-US"/>
        </w:rPr>
        <w:t>include the above spot prices in the analysis.</w:t>
      </w:r>
    </w:p>
    <w:p w:rsidR="003F2B11" w:rsidRPr="00470218" w:rsidRDefault="003F2B11" w:rsidP="003F2B11">
      <w:pPr>
        <w:pStyle w:val="AERtabletitle"/>
      </w:pPr>
      <w:r>
        <w:t>Table 8</w:t>
      </w:r>
      <w:r w:rsidRPr="00470218">
        <w:t xml:space="preserve">: </w:t>
      </w:r>
      <w:r>
        <w:t>South Australia</w:t>
      </w:r>
      <w:r w:rsidRPr="00470218">
        <w:t>,</w:t>
      </w:r>
      <w:r>
        <w:t xml:space="preserve"> Thursday</w:t>
      </w:r>
      <w:r w:rsidRPr="00470218">
        <w:t> </w:t>
      </w:r>
      <w:r>
        <w:t>19 December 8.30 PM</w:t>
      </w:r>
      <w:r>
        <w:tab/>
      </w:r>
    </w:p>
    <w:tbl>
      <w:tblPr>
        <w:tblStyle w:val="MediumShading1-Accent11"/>
        <w:tblW w:w="932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78"/>
        <w:gridCol w:w="938"/>
        <w:gridCol w:w="938"/>
        <w:gridCol w:w="938"/>
        <w:gridCol w:w="938"/>
        <w:gridCol w:w="939"/>
        <w:gridCol w:w="938"/>
        <w:gridCol w:w="938"/>
        <w:gridCol w:w="938"/>
        <w:gridCol w:w="939"/>
      </w:tblGrid>
      <w:tr w:rsidR="003F2B11" w:rsidRPr="00EE375C" w:rsidTr="003F2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 w:type="dxa"/>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rPr>
                <w:b w:val="0"/>
                <w:bCs w:val="0"/>
                <w:color w:val="auto"/>
              </w:rPr>
            </w:pPr>
            <w:r>
              <w:t>Time</w:t>
            </w:r>
          </w:p>
        </w:tc>
        <w:tc>
          <w:tcPr>
            <w:tcW w:w="2814" w:type="dxa"/>
            <w:gridSpan w:val="3"/>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Price ($/MWh)</w:t>
            </w:r>
          </w:p>
        </w:tc>
        <w:tc>
          <w:tcPr>
            <w:tcW w:w="2815" w:type="dxa"/>
            <w:gridSpan w:val="3"/>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Demand (MW)</w:t>
            </w:r>
          </w:p>
        </w:tc>
        <w:tc>
          <w:tcPr>
            <w:tcW w:w="2815" w:type="dxa"/>
            <w:gridSpan w:val="3"/>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Availability (MW)</w:t>
            </w:r>
          </w:p>
        </w:tc>
      </w:tr>
      <w:tr w:rsidR="003F2B11" w:rsidRPr="00EE375C" w:rsidTr="003F2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 w:type="dxa"/>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rPr>
                <w:b w:val="0"/>
                <w:bCs w:val="0"/>
                <w:color w:val="auto"/>
              </w:rPr>
            </w:pPr>
          </w:p>
        </w:tc>
        <w:tc>
          <w:tcPr>
            <w:tcW w:w="938" w:type="dxa"/>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Actual</w:t>
            </w:r>
          </w:p>
        </w:tc>
        <w:tc>
          <w:tcPr>
            <w:tcW w:w="938" w:type="dxa"/>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t>4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12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Actual</w:t>
            </w:r>
          </w:p>
        </w:tc>
        <w:tc>
          <w:tcPr>
            <w:tcW w:w="939" w:type="dxa"/>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4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E375C">
              <w:t>12 hr forecast</w:t>
            </w:r>
          </w:p>
        </w:tc>
        <w:tc>
          <w:tcPr>
            <w:tcW w:w="938" w:type="dxa"/>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Actual</w:t>
            </w:r>
          </w:p>
        </w:tc>
        <w:tc>
          <w:tcPr>
            <w:tcW w:w="938" w:type="dxa"/>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D04C2E">
              <w:t>4 hr forecast</w:t>
            </w:r>
          </w:p>
        </w:tc>
        <w:tc>
          <w:tcPr>
            <w:tcW w:w="939" w:type="dxa"/>
            <w:tcBorders>
              <w:top w:val="none" w:sz="0" w:space="0" w:color="auto"/>
              <w:left w:val="none" w:sz="0" w:space="0" w:color="auto"/>
              <w:bottom w:val="none" w:sz="0" w:space="0" w:color="auto"/>
              <w:right w:val="none" w:sz="0" w:space="0" w:color="auto"/>
            </w:tcBorders>
            <w:shd w:val="clear" w:color="auto" w:fill="4A442A"/>
          </w:tcPr>
          <w:p w:rsidR="003F2B11" w:rsidRDefault="003F2B11" w:rsidP="008F4C10">
            <w:pPr>
              <w:pStyle w:val="AERtabletext-numbers"/>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EE375C">
              <w:t>12 hr forecast</w:t>
            </w:r>
          </w:p>
        </w:tc>
      </w:tr>
      <w:tr w:rsidR="003F2B11" w:rsidRPr="0065265F" w:rsidTr="003F2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 w:type="dxa"/>
            <w:tcBorders>
              <w:right w:val="none" w:sz="0" w:space="0" w:color="auto"/>
            </w:tcBorders>
            <w:shd w:val="clear" w:color="auto" w:fill="DDD9C3"/>
          </w:tcPr>
          <w:p w:rsidR="003F2B11" w:rsidRPr="0065265F" w:rsidRDefault="003F2B11" w:rsidP="0065265F">
            <w:pPr>
              <w:pStyle w:val="AERtabletextheading"/>
              <w:jc w:val="center"/>
              <w:rPr>
                <w:bCs w:val="0"/>
              </w:rPr>
            </w:pPr>
            <w:r w:rsidRPr="0065265F">
              <w:t>8.30 PM</w:t>
            </w:r>
          </w:p>
        </w:tc>
        <w:tc>
          <w:tcPr>
            <w:tcW w:w="938" w:type="dxa"/>
            <w:tcBorders>
              <w:left w:val="none" w:sz="0" w:space="0" w:color="auto"/>
              <w:right w:val="none" w:sz="0" w:space="0" w:color="auto"/>
            </w:tcBorders>
            <w:shd w:val="clear" w:color="auto" w:fill="DDD9C3"/>
            <w:vAlign w:val="center"/>
          </w:tcPr>
          <w:p w:rsidR="003F2B11" w:rsidRPr="0065265F" w:rsidRDefault="003F2B11" w:rsidP="0065265F">
            <w:pPr>
              <w:pStyle w:val="AERtabletextheading"/>
              <w:jc w:val="center"/>
              <w:cnfStyle w:val="000000100000" w:firstRow="0" w:lastRow="0" w:firstColumn="0" w:lastColumn="0" w:oddVBand="0" w:evenVBand="0" w:oddHBand="1" w:evenHBand="0" w:firstRowFirstColumn="0" w:firstRowLastColumn="0" w:lastRowFirstColumn="0" w:lastRowLastColumn="0"/>
              <w:rPr>
                <w:rFonts w:cs="Gautami"/>
                <w:b w:val="0"/>
                <w:color w:val="000000"/>
              </w:rPr>
            </w:pPr>
            <w:r w:rsidRPr="0065265F">
              <w:rPr>
                <w:rFonts w:cs="Gautami"/>
                <w:b w:val="0"/>
                <w:color w:val="000000"/>
              </w:rPr>
              <w:t>2268.33</w:t>
            </w:r>
          </w:p>
        </w:tc>
        <w:tc>
          <w:tcPr>
            <w:tcW w:w="938" w:type="dxa"/>
            <w:tcBorders>
              <w:left w:val="none" w:sz="0" w:space="0" w:color="auto"/>
              <w:right w:val="none" w:sz="0" w:space="0" w:color="auto"/>
            </w:tcBorders>
            <w:shd w:val="clear" w:color="auto" w:fill="DDD9C3"/>
            <w:vAlign w:val="center"/>
          </w:tcPr>
          <w:p w:rsidR="003F2B11" w:rsidRPr="0065265F" w:rsidRDefault="003F2B11" w:rsidP="0065265F">
            <w:pPr>
              <w:pStyle w:val="AERtabletextheading"/>
              <w:jc w:val="center"/>
              <w:cnfStyle w:val="000000100000" w:firstRow="0" w:lastRow="0" w:firstColumn="0" w:lastColumn="0" w:oddVBand="0" w:evenVBand="0" w:oddHBand="1" w:evenHBand="0" w:firstRowFirstColumn="0" w:firstRowLastColumn="0" w:lastRowFirstColumn="0" w:lastRowLastColumn="0"/>
              <w:rPr>
                <w:rFonts w:cs="Gautami"/>
                <w:b w:val="0"/>
                <w:color w:val="000000"/>
              </w:rPr>
            </w:pPr>
            <w:r w:rsidRPr="0065265F">
              <w:rPr>
                <w:rFonts w:cs="Gautami"/>
                <w:b w:val="0"/>
                <w:color w:val="000000"/>
              </w:rPr>
              <w:t>109.80</w:t>
            </w:r>
          </w:p>
        </w:tc>
        <w:tc>
          <w:tcPr>
            <w:tcW w:w="938" w:type="dxa"/>
            <w:tcBorders>
              <w:left w:val="none" w:sz="0" w:space="0" w:color="auto"/>
              <w:right w:val="none" w:sz="0" w:space="0" w:color="auto"/>
            </w:tcBorders>
            <w:shd w:val="clear" w:color="auto" w:fill="DDD9C3"/>
            <w:vAlign w:val="center"/>
          </w:tcPr>
          <w:p w:rsidR="003F2B11" w:rsidRPr="0065265F" w:rsidRDefault="003F2B11" w:rsidP="0065265F">
            <w:pPr>
              <w:pStyle w:val="AERtabletextheading"/>
              <w:jc w:val="center"/>
              <w:cnfStyle w:val="000000100000" w:firstRow="0" w:lastRow="0" w:firstColumn="0" w:lastColumn="0" w:oddVBand="0" w:evenVBand="0" w:oddHBand="1" w:evenHBand="0" w:firstRowFirstColumn="0" w:firstRowLastColumn="0" w:lastRowFirstColumn="0" w:lastRowLastColumn="0"/>
              <w:rPr>
                <w:rFonts w:cs="Gautami"/>
                <w:b w:val="0"/>
                <w:color w:val="000000"/>
              </w:rPr>
            </w:pPr>
            <w:r w:rsidRPr="0065265F">
              <w:rPr>
                <w:rFonts w:cs="Gautami"/>
                <w:b w:val="0"/>
                <w:color w:val="000000"/>
              </w:rPr>
              <w:t>70.80</w:t>
            </w:r>
          </w:p>
        </w:tc>
        <w:tc>
          <w:tcPr>
            <w:tcW w:w="938" w:type="dxa"/>
            <w:tcBorders>
              <w:left w:val="none" w:sz="0" w:space="0" w:color="auto"/>
              <w:right w:val="none" w:sz="0" w:space="0" w:color="auto"/>
            </w:tcBorders>
            <w:shd w:val="clear" w:color="auto" w:fill="DDD9C3"/>
            <w:vAlign w:val="center"/>
          </w:tcPr>
          <w:p w:rsidR="003F2B11" w:rsidRPr="0065265F" w:rsidRDefault="003F2B11" w:rsidP="0065265F">
            <w:pPr>
              <w:pStyle w:val="AERtabletextheading"/>
              <w:jc w:val="center"/>
              <w:cnfStyle w:val="000000100000" w:firstRow="0" w:lastRow="0" w:firstColumn="0" w:lastColumn="0" w:oddVBand="0" w:evenVBand="0" w:oddHBand="1" w:evenHBand="0" w:firstRowFirstColumn="0" w:firstRowLastColumn="0" w:lastRowFirstColumn="0" w:lastRowLastColumn="0"/>
              <w:rPr>
                <w:rFonts w:cs="Gautami"/>
                <w:b w:val="0"/>
                <w:color w:val="000000"/>
              </w:rPr>
            </w:pPr>
            <w:r w:rsidRPr="0065265F">
              <w:rPr>
                <w:rFonts w:cs="Gautami"/>
                <w:b w:val="0"/>
                <w:color w:val="000000"/>
              </w:rPr>
              <w:t>2559</w:t>
            </w:r>
          </w:p>
        </w:tc>
        <w:tc>
          <w:tcPr>
            <w:tcW w:w="939" w:type="dxa"/>
            <w:tcBorders>
              <w:left w:val="none" w:sz="0" w:space="0" w:color="auto"/>
              <w:right w:val="none" w:sz="0" w:space="0" w:color="auto"/>
            </w:tcBorders>
            <w:shd w:val="clear" w:color="auto" w:fill="DDD9C3"/>
            <w:vAlign w:val="center"/>
          </w:tcPr>
          <w:p w:rsidR="003F2B11" w:rsidRPr="0065265F" w:rsidRDefault="003F2B11" w:rsidP="0065265F">
            <w:pPr>
              <w:pStyle w:val="AERtabletextheading"/>
              <w:jc w:val="center"/>
              <w:cnfStyle w:val="000000100000" w:firstRow="0" w:lastRow="0" w:firstColumn="0" w:lastColumn="0" w:oddVBand="0" w:evenVBand="0" w:oddHBand="1" w:evenHBand="0" w:firstRowFirstColumn="0" w:firstRowLastColumn="0" w:lastRowFirstColumn="0" w:lastRowLastColumn="0"/>
              <w:rPr>
                <w:rFonts w:cs="Gautami"/>
                <w:b w:val="0"/>
                <w:color w:val="000000"/>
              </w:rPr>
            </w:pPr>
            <w:r w:rsidRPr="0065265F">
              <w:rPr>
                <w:rFonts w:cs="Gautami"/>
                <w:b w:val="0"/>
                <w:color w:val="000000"/>
              </w:rPr>
              <w:t>2409</w:t>
            </w:r>
          </w:p>
        </w:tc>
        <w:tc>
          <w:tcPr>
            <w:tcW w:w="938" w:type="dxa"/>
            <w:tcBorders>
              <w:left w:val="none" w:sz="0" w:space="0" w:color="auto"/>
              <w:right w:val="none" w:sz="0" w:space="0" w:color="auto"/>
            </w:tcBorders>
            <w:shd w:val="clear" w:color="auto" w:fill="DDD9C3"/>
            <w:vAlign w:val="center"/>
          </w:tcPr>
          <w:p w:rsidR="003F2B11" w:rsidRPr="0065265F" w:rsidRDefault="003F2B11" w:rsidP="0065265F">
            <w:pPr>
              <w:pStyle w:val="AERtabletextheading"/>
              <w:jc w:val="center"/>
              <w:cnfStyle w:val="000000100000" w:firstRow="0" w:lastRow="0" w:firstColumn="0" w:lastColumn="0" w:oddVBand="0" w:evenVBand="0" w:oddHBand="1" w:evenHBand="0" w:firstRowFirstColumn="0" w:firstRowLastColumn="0" w:lastRowFirstColumn="0" w:lastRowLastColumn="0"/>
              <w:rPr>
                <w:rFonts w:cs="Gautami"/>
                <w:b w:val="0"/>
                <w:color w:val="000000"/>
              </w:rPr>
            </w:pPr>
            <w:r w:rsidRPr="0065265F">
              <w:rPr>
                <w:rFonts w:cs="Gautami"/>
                <w:b w:val="0"/>
                <w:color w:val="000000"/>
              </w:rPr>
              <w:t>2171</w:t>
            </w:r>
          </w:p>
        </w:tc>
        <w:tc>
          <w:tcPr>
            <w:tcW w:w="938" w:type="dxa"/>
            <w:tcBorders>
              <w:left w:val="none" w:sz="0" w:space="0" w:color="auto"/>
              <w:right w:val="none" w:sz="0" w:space="0" w:color="auto"/>
            </w:tcBorders>
            <w:shd w:val="clear" w:color="auto" w:fill="DDD9C3"/>
            <w:vAlign w:val="center"/>
          </w:tcPr>
          <w:p w:rsidR="003F2B11" w:rsidRPr="0065265F" w:rsidRDefault="003F2B11" w:rsidP="0065265F">
            <w:pPr>
              <w:pStyle w:val="AERtabletextheading"/>
              <w:jc w:val="center"/>
              <w:cnfStyle w:val="000000100000" w:firstRow="0" w:lastRow="0" w:firstColumn="0" w:lastColumn="0" w:oddVBand="0" w:evenVBand="0" w:oddHBand="1" w:evenHBand="0" w:firstRowFirstColumn="0" w:firstRowLastColumn="0" w:lastRowFirstColumn="0" w:lastRowLastColumn="0"/>
              <w:rPr>
                <w:rFonts w:cs="Gautami"/>
                <w:b w:val="0"/>
                <w:color w:val="000000"/>
              </w:rPr>
            </w:pPr>
            <w:r w:rsidRPr="0065265F">
              <w:rPr>
                <w:rFonts w:cs="Gautami"/>
                <w:b w:val="0"/>
                <w:color w:val="000000"/>
              </w:rPr>
              <w:t>3471</w:t>
            </w:r>
          </w:p>
        </w:tc>
        <w:tc>
          <w:tcPr>
            <w:tcW w:w="938" w:type="dxa"/>
            <w:tcBorders>
              <w:left w:val="none" w:sz="0" w:space="0" w:color="auto"/>
              <w:right w:val="none" w:sz="0" w:space="0" w:color="auto"/>
            </w:tcBorders>
            <w:shd w:val="clear" w:color="auto" w:fill="DDD9C3"/>
            <w:vAlign w:val="center"/>
          </w:tcPr>
          <w:p w:rsidR="003F2B11" w:rsidRPr="0065265F" w:rsidRDefault="003F2B11" w:rsidP="0065265F">
            <w:pPr>
              <w:pStyle w:val="AERtabletextheading"/>
              <w:jc w:val="center"/>
              <w:cnfStyle w:val="000000100000" w:firstRow="0" w:lastRow="0" w:firstColumn="0" w:lastColumn="0" w:oddVBand="0" w:evenVBand="0" w:oddHBand="1" w:evenHBand="0" w:firstRowFirstColumn="0" w:firstRowLastColumn="0" w:lastRowFirstColumn="0" w:lastRowLastColumn="0"/>
              <w:rPr>
                <w:rFonts w:cs="Gautami"/>
                <w:b w:val="0"/>
                <w:color w:val="000000"/>
              </w:rPr>
            </w:pPr>
            <w:r w:rsidRPr="0065265F">
              <w:rPr>
                <w:rFonts w:cs="Gautami"/>
                <w:b w:val="0"/>
                <w:color w:val="000000"/>
              </w:rPr>
              <w:t>3114</w:t>
            </w:r>
          </w:p>
        </w:tc>
        <w:tc>
          <w:tcPr>
            <w:tcW w:w="939" w:type="dxa"/>
            <w:tcBorders>
              <w:left w:val="none" w:sz="0" w:space="0" w:color="auto"/>
            </w:tcBorders>
            <w:shd w:val="clear" w:color="auto" w:fill="DDD9C3"/>
            <w:vAlign w:val="center"/>
          </w:tcPr>
          <w:p w:rsidR="003F2B11" w:rsidRPr="0065265F" w:rsidRDefault="003F2B11" w:rsidP="0065265F">
            <w:pPr>
              <w:pStyle w:val="AERtabletextheading"/>
              <w:jc w:val="center"/>
              <w:cnfStyle w:val="000000100000" w:firstRow="0" w:lastRow="0" w:firstColumn="0" w:lastColumn="0" w:oddVBand="0" w:evenVBand="0" w:oddHBand="1" w:evenHBand="0" w:firstRowFirstColumn="0" w:firstRowLastColumn="0" w:lastRowFirstColumn="0" w:lastRowLastColumn="0"/>
              <w:rPr>
                <w:rFonts w:cs="Gautami"/>
                <w:b w:val="0"/>
                <w:color w:val="000000"/>
              </w:rPr>
            </w:pPr>
            <w:r w:rsidRPr="0065265F">
              <w:rPr>
                <w:rFonts w:cs="Gautami"/>
                <w:b w:val="0"/>
                <w:color w:val="000000"/>
              </w:rPr>
              <w:t>3060</w:t>
            </w:r>
          </w:p>
        </w:tc>
      </w:tr>
    </w:tbl>
    <w:p w:rsidR="00BA7A0E" w:rsidRDefault="00BA7A0E" w:rsidP="000132AC">
      <w:pPr>
        <w:spacing w:before="100" w:beforeAutospacing="1" w:after="100" w:afterAutospacing="1"/>
      </w:pPr>
    </w:p>
    <w:p w:rsidR="000132AC" w:rsidRDefault="000132AC" w:rsidP="000132AC">
      <w:pPr>
        <w:spacing w:before="100" w:beforeAutospacing="1" w:after="100" w:afterAutospacing="1"/>
      </w:pPr>
      <w:r>
        <w:t>Conditions at the time saw demand 150 MW higher than forecast four hours ahead with available capacity 357 MW above forecast.</w:t>
      </w:r>
    </w:p>
    <w:p w:rsidR="0009523F" w:rsidRPr="00557095" w:rsidRDefault="0009523F" w:rsidP="0009523F">
      <w:pPr>
        <w:spacing w:before="100" w:beforeAutospacing="1" w:after="100" w:afterAutospacing="1"/>
        <w:rPr>
          <w:lang w:eastAsia="en-US"/>
        </w:rPr>
      </w:pPr>
      <w:r>
        <w:rPr>
          <w:lang w:eastAsia="en-US"/>
        </w:rPr>
        <w:t xml:space="preserve">At the time of </w:t>
      </w:r>
      <w:r w:rsidR="0041346C">
        <w:rPr>
          <w:lang w:eastAsia="en-US"/>
        </w:rPr>
        <w:t xml:space="preserve">the </w:t>
      </w:r>
      <w:r>
        <w:rPr>
          <w:lang w:eastAsia="en-US"/>
        </w:rPr>
        <w:t xml:space="preserve">high price there was </w:t>
      </w:r>
      <w:r w:rsidRPr="00AE4953">
        <w:rPr>
          <w:lang w:eastAsia="en-US"/>
        </w:rPr>
        <w:t xml:space="preserve">no capacity offered </w:t>
      </w:r>
      <w:r w:rsidR="0041346C">
        <w:rPr>
          <w:lang w:eastAsia="en-US"/>
        </w:rPr>
        <w:t xml:space="preserve">at prices </w:t>
      </w:r>
      <w:r w:rsidRPr="00AE4953">
        <w:rPr>
          <w:lang w:eastAsia="en-US"/>
        </w:rPr>
        <w:t>between $300/MWh and $10</w:t>
      </w:r>
      <w:r w:rsidR="00242916">
        <w:rPr>
          <w:lang w:eastAsia="en-US"/>
        </w:rPr>
        <w:t> 0</w:t>
      </w:r>
      <w:r w:rsidRPr="00AE4953">
        <w:rPr>
          <w:lang w:eastAsia="en-US"/>
        </w:rPr>
        <w:t>00/MWh</w:t>
      </w:r>
      <w:r>
        <w:rPr>
          <w:lang w:eastAsia="en-US"/>
        </w:rPr>
        <w:t>.</w:t>
      </w:r>
    </w:p>
    <w:p w:rsidR="000132AC" w:rsidRPr="00923D6F" w:rsidRDefault="000132AC" w:rsidP="000132AC">
      <w:pPr>
        <w:spacing w:before="100" w:beforeAutospacing="1" w:after="100" w:afterAutospacing="1"/>
      </w:pPr>
      <w:r>
        <w:t xml:space="preserve">At 8.14 pm, effective from 8.25 pm, AGL Energy rebid 485MW of capacity at its Torrens Island power station from </w:t>
      </w:r>
      <w:r w:rsidR="0009523F">
        <w:t xml:space="preserve">prices below </w:t>
      </w:r>
      <w:r>
        <w:t xml:space="preserve">$200/MWh to </w:t>
      </w:r>
      <w:r w:rsidR="0009523F">
        <w:t>the price cap</w:t>
      </w:r>
      <w:r>
        <w:t>. The reason given was “19:31A chg in f/c::pd demand incr sa +139mw since 1731 [2030]”.</w:t>
      </w:r>
    </w:p>
    <w:p w:rsidR="0009523F" w:rsidRDefault="0009523F" w:rsidP="000132AC">
      <w:pPr>
        <w:spacing w:before="100" w:beforeAutospacing="1" w:after="100" w:afterAutospacing="1"/>
      </w:pPr>
      <w:r w:rsidRPr="00557095">
        <w:rPr>
          <w:lang w:eastAsia="en-US"/>
        </w:rPr>
        <w:t xml:space="preserve">The </w:t>
      </w:r>
      <w:r>
        <w:rPr>
          <w:lang w:eastAsia="en-US"/>
        </w:rPr>
        <w:t>5 minute</w:t>
      </w:r>
      <w:r w:rsidRPr="00557095">
        <w:rPr>
          <w:lang w:eastAsia="en-US"/>
        </w:rPr>
        <w:t xml:space="preserve"> price increased </w:t>
      </w:r>
      <w:r>
        <w:rPr>
          <w:lang w:eastAsia="en-US"/>
        </w:rPr>
        <w:t xml:space="preserve">from $110/MWh at 8.20 pm </w:t>
      </w:r>
      <w:r w:rsidRPr="00557095">
        <w:rPr>
          <w:lang w:eastAsia="en-US"/>
        </w:rPr>
        <w:t xml:space="preserve">to </w:t>
      </w:r>
      <w:r w:rsidR="00242916">
        <w:rPr>
          <w:lang w:eastAsia="en-US"/>
        </w:rPr>
        <w:t xml:space="preserve">$13 100/MWh </w:t>
      </w:r>
      <w:r>
        <w:rPr>
          <w:lang w:eastAsia="en-US"/>
        </w:rPr>
        <w:t>at 8.25 pm</w:t>
      </w:r>
      <w:r w:rsidRPr="00557095">
        <w:rPr>
          <w:lang w:eastAsia="en-US"/>
        </w:rPr>
        <w:t xml:space="preserve"> </w:t>
      </w:r>
      <w:r>
        <w:rPr>
          <w:lang w:eastAsia="en-US"/>
        </w:rPr>
        <w:t>with Torrens Island setting the price. At 8.</w:t>
      </w:r>
      <w:r w:rsidRPr="00AE4953">
        <w:t>3</w:t>
      </w:r>
      <w:r>
        <w:t xml:space="preserve">0 pm </w:t>
      </w:r>
      <w:r w:rsidR="0041346C">
        <w:t xml:space="preserve">the 5 minute dispatch </w:t>
      </w:r>
      <w:r>
        <w:t>price returned to previous levels when demand fell by 153 MW.</w:t>
      </w:r>
      <w:r w:rsidR="00242916">
        <w:t xml:space="preserve">  This reduction in demand does not appear to have been as a result of the response of non-scheduled generation or a demand side reaction.</w:t>
      </w:r>
    </w:p>
    <w:p w:rsidR="000132AC" w:rsidRDefault="000132AC" w:rsidP="000132AC">
      <w:pPr>
        <w:spacing w:before="100" w:beforeAutospacing="1" w:after="100" w:afterAutospacing="1"/>
      </w:pPr>
      <w:r>
        <w:t>There was no other significant rebidding.</w:t>
      </w:r>
    </w:p>
    <w:p w:rsidR="00E96C5A" w:rsidRPr="00943307" w:rsidRDefault="00BA7A0E" w:rsidP="00E96C5A">
      <w:pPr>
        <w:pStyle w:val="Heading2"/>
      </w:pPr>
      <w:r>
        <w:br w:type="page"/>
      </w:r>
      <w:r w:rsidR="00E96C5A" w:rsidRPr="00943307">
        <w:t>Financial markets</w:t>
      </w:r>
    </w:p>
    <w:p w:rsidR="00E96C5A" w:rsidRPr="002D23B9" w:rsidRDefault="00E96C5A" w:rsidP="00E96C5A">
      <w:pPr>
        <w:pStyle w:val="AERbodytext"/>
      </w:pPr>
      <w:r w:rsidRPr="002D23B9">
        <w:t xml:space="preserve">Figure 8 shows for all mainland regions the prices for base contracts (and total traded quantities for the week) for each quarter for the next four financial years. </w:t>
      </w:r>
    </w:p>
    <w:p w:rsidR="00E96C5A" w:rsidRPr="002D23B9" w:rsidRDefault="00E96C5A" w:rsidP="00E96C5A">
      <w:pPr>
        <w:pStyle w:val="Figureheading"/>
        <w:numPr>
          <w:ilvl w:val="0"/>
          <w:numId w:val="0"/>
        </w:numPr>
        <w:ind w:left="357" w:hanging="357"/>
      </w:pPr>
      <w:r w:rsidRPr="002D23B9">
        <w:t xml:space="preserve">Figure 8: Quarterly base future prices </w:t>
      </w:r>
      <w:r w:rsidR="00795DDE" w:rsidRPr="002D23B9">
        <w:t xml:space="preserve">Q4 </w:t>
      </w:r>
      <w:r w:rsidRPr="002D23B9">
        <w:t xml:space="preserve">2013 – </w:t>
      </w:r>
      <w:r w:rsidR="00795DDE" w:rsidRPr="002D23B9">
        <w:t xml:space="preserve">Q3 </w:t>
      </w:r>
      <w:r w:rsidRPr="002D23B9">
        <w:t>2017</w:t>
      </w:r>
    </w:p>
    <w:p w:rsidR="00942195" w:rsidRPr="002D23B9" w:rsidRDefault="00A01810" w:rsidP="00942195">
      <w:pPr>
        <w:pStyle w:val="AERbodytext"/>
        <w:keepNext/>
      </w:pPr>
      <w:r>
        <w:pict>
          <v:shape id="_x0000_i1033" type="#_x0000_t75" alt="Figure 8 shows for all mainland regions the prices for base contracts (and total traded quantities for the week) for each quarter for the next four financial years.     &#10;" style="width:451pt;height:243.15pt">
            <v:imagedata r:id="rId18" o:title=""/>
          </v:shape>
        </w:pict>
      </w:r>
    </w:p>
    <w:p w:rsidR="00E96C5A" w:rsidRPr="002D23B9" w:rsidRDefault="00E96C5A" w:rsidP="00170E47">
      <w:pPr>
        <w:pStyle w:val="Sourceandnotes"/>
        <w:ind w:left="0" w:firstLine="0"/>
      </w:pPr>
      <w:r w:rsidRPr="002D23B9">
        <w:t xml:space="preserve">Source: </w:t>
      </w:r>
      <w:hyperlink r:id="rId19" w:history="1">
        <w:r w:rsidRPr="002D23B9">
          <w:rPr>
            <w:rStyle w:val="Hyperlink"/>
            <w:color w:val="auto"/>
          </w:rPr>
          <w:t>ASXEnergy.com.au</w:t>
        </w:r>
      </w:hyperlink>
    </w:p>
    <w:p w:rsidR="007354CE" w:rsidRPr="002D23B9" w:rsidRDefault="00E96C5A" w:rsidP="00E96C5A">
      <w:pPr>
        <w:pStyle w:val="AERbodytext"/>
      </w:pPr>
      <w:r w:rsidRPr="002D23B9">
        <w:t>Figure 9 shows how the price for each regional Quarter 1 2014 base contract has changed over the last 10 weeks (as well as the total number of trades each week). The closing Quarter 1 2012 and Quarter 1 2013 prices are also shown.</w:t>
      </w:r>
      <w:r w:rsidR="007354CE" w:rsidRPr="002D23B9">
        <w:t xml:space="preserve"> </w:t>
      </w:r>
    </w:p>
    <w:p w:rsidR="00E96C5A" w:rsidRPr="002D23B9" w:rsidRDefault="00E96C5A" w:rsidP="00E96C5A">
      <w:pPr>
        <w:pStyle w:val="Figureheading"/>
        <w:numPr>
          <w:ilvl w:val="0"/>
          <w:numId w:val="0"/>
        </w:numPr>
        <w:ind w:left="357" w:hanging="357"/>
      </w:pPr>
      <w:r w:rsidRPr="002D23B9">
        <w:t>Figure 9: Price of Q1 2014 base contracts over the past 10 weeks (and the past 2 years)</w:t>
      </w:r>
    </w:p>
    <w:p w:rsidR="00E96C5A" w:rsidRPr="002D23B9" w:rsidRDefault="00A01810" w:rsidP="00942195">
      <w:pPr>
        <w:pStyle w:val="AERbodytext"/>
      </w:pPr>
      <w:r>
        <w:pict>
          <v:shape id="_x0000_i1034" type="#_x0000_t75" alt="Figure 9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10;" style="width:451pt;height:238.4pt">
            <v:imagedata r:id="rId20"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1"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2" w:history="1">
        <w:r w:rsidR="0041346C">
          <w:rPr>
            <w:rStyle w:val="Hyperlink"/>
            <w:color w:val="auto"/>
          </w:rPr>
          <w:t xml:space="preserve">Wholesale statistics </w:t>
        </w:r>
      </w:hyperlink>
      <w:r w:rsidRPr="002D23B9">
        <w:t>section of our website.</w:t>
      </w:r>
    </w:p>
    <w:p w:rsidR="006A519A" w:rsidRDefault="00E96C5A" w:rsidP="006A519A">
      <w:pPr>
        <w:pStyle w:val="AERbodytext"/>
      </w:pPr>
      <w:r w:rsidRPr="002D23B9">
        <w:t xml:space="preserve">Figure 10 shows how the price for each regional Quarter 1 2014 cap contract has changed over the last 10 weeks (as well as the total number of trades each week). The closing Quarter 1 2012 and Quarter 1 2013 prices are also shown. </w:t>
      </w:r>
      <w:r w:rsidR="006A519A" w:rsidRPr="008245F0">
        <w:t xml:space="preserve">The cap contracts limit exposure to extreme spot prices (above $300/MWh) and is an indicator of the cost of risk management. </w:t>
      </w:r>
    </w:p>
    <w:p w:rsidR="00E96C5A" w:rsidRPr="002D23B9" w:rsidRDefault="00E96C5A" w:rsidP="00E96C5A">
      <w:pPr>
        <w:pStyle w:val="Figureheading"/>
        <w:numPr>
          <w:ilvl w:val="0"/>
          <w:numId w:val="0"/>
        </w:numPr>
        <w:ind w:left="357" w:hanging="357"/>
      </w:pPr>
      <w:r w:rsidRPr="002D23B9">
        <w:t>Figure 10: Price of Q1 2014 cap contracts over the past 10 weeks (and the past 2 years)</w:t>
      </w:r>
    </w:p>
    <w:p w:rsidR="00E96C5A" w:rsidRPr="002D23B9" w:rsidRDefault="00A01810" w:rsidP="00942195">
      <w:pPr>
        <w:pStyle w:val="AERbodytext"/>
      </w:pPr>
      <w:r>
        <w:pict>
          <v:shape id="_x0000_i1035" type="#_x0000_t75" alt="Figure 10 shows how the price for each regional Quarter 1 2014 cap contract has changed over the last 10 weeks (as well as the total number of trades each week). The closing quarter 1 2012 and quarter 1 2013 prices are also shown.        &#10;" style="width:451pt;height:241.15pt">
            <v:imagedata r:id="rId23" o:title=""/>
          </v:shape>
        </w:pict>
      </w:r>
    </w:p>
    <w:p w:rsidR="00E96C5A" w:rsidRPr="002D23B9" w:rsidRDefault="00E96C5A" w:rsidP="00170E47">
      <w:pPr>
        <w:pStyle w:val="Sourceandnotes"/>
        <w:spacing w:after="120"/>
      </w:pPr>
      <w:r w:rsidRPr="002D23B9">
        <w:t xml:space="preserve">Source: </w:t>
      </w:r>
      <w:hyperlink r:id="rId24"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6A05D2" w:rsidP="003157C3">
      <w:r>
        <w:rPr>
          <w:b/>
        </w:rPr>
        <w:t xml:space="preserve">February </w:t>
      </w:r>
      <w:r w:rsidR="00943307">
        <w:rPr>
          <w:b/>
        </w:rPr>
        <w:t>2014</w:t>
      </w:r>
    </w:p>
    <w:sectPr w:rsidR="00E96C5A" w:rsidRPr="002D23B9" w:rsidSect="004E70D9">
      <w:footerReference w:type="default" r:id="rId25"/>
      <w:footerReference w:type="first" r:id="rId26"/>
      <w:type w:val="continuous"/>
      <w:pgSz w:w="11906" w:h="16838" w:code="9"/>
      <w:pgMar w:top="1135" w:right="1440"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C10" w:rsidRDefault="008F4C10" w:rsidP="00BB640B">
      <w:r>
        <w:separator/>
      </w:r>
    </w:p>
    <w:p w:rsidR="008F4C10" w:rsidRDefault="008F4C10"/>
    <w:p w:rsidR="008F4C10" w:rsidRDefault="008F4C10"/>
  </w:endnote>
  <w:endnote w:type="continuationSeparator" w:id="0">
    <w:p w:rsidR="008F4C10" w:rsidRDefault="008F4C10" w:rsidP="00BB640B">
      <w:r>
        <w:continuationSeparator/>
      </w:r>
    </w:p>
    <w:p w:rsidR="008F4C10" w:rsidRDefault="008F4C10"/>
    <w:p w:rsidR="008F4C10" w:rsidRDefault="008F4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10" w:rsidRPr="00474107" w:rsidRDefault="008F4C10"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B12221">
      <w:rPr>
        <w:rStyle w:val="PageNumber"/>
        <w:noProof/>
      </w:rPr>
      <w:t>13</w:t>
    </w:r>
    <w:r>
      <w:rPr>
        <w:rStyle w:val="PageNumber"/>
      </w:rPr>
      <w:fldChar w:fldCharType="end"/>
    </w:r>
  </w:p>
  <w:p w:rsidR="008F4C10" w:rsidRPr="0097256D" w:rsidRDefault="008F4C10" w:rsidP="00BB5A97">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10" w:rsidRPr="00643F62" w:rsidRDefault="008F4C10"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 xml:space="preserve">AER reference: 39220 – </w:t>
    </w:r>
    <w:r w:rsidRPr="006B264A">
      <w:rPr>
        <w:rFonts w:ascii="Arial" w:hAnsi="Arial" w:cs="Arial"/>
        <w:i/>
        <w:szCs w:val="18"/>
      </w:rPr>
      <w:t>D1</w:t>
    </w:r>
    <w:r>
      <w:rPr>
        <w:rFonts w:ascii="Arial" w:hAnsi="Arial" w:cs="Arial"/>
        <w:i/>
        <w:szCs w:val="18"/>
      </w:rPr>
      <w:t>4</w:t>
    </w:r>
    <w:r w:rsidRPr="006B264A">
      <w:rPr>
        <w:rFonts w:ascii="Arial" w:hAnsi="Arial" w:cs="Arial"/>
        <w:i/>
        <w:szCs w:val="18"/>
      </w:rPr>
      <w:t>/</w:t>
    </w:r>
    <w:r>
      <w:rPr>
        <w:rFonts w:ascii="Arial" w:hAnsi="Arial" w:cs="Arial"/>
        <w:i/>
        <w:szCs w:val="18"/>
      </w:rPr>
      <w:t>309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C10" w:rsidRDefault="008F4C10" w:rsidP="00BB640B">
      <w:r>
        <w:separator/>
      </w:r>
    </w:p>
    <w:p w:rsidR="008F4C10" w:rsidRPr="00DB6729" w:rsidRDefault="008F4C10">
      <w:pPr>
        <w:rPr>
          <w:b/>
          <w:sz w:val="2"/>
        </w:rPr>
      </w:pPr>
    </w:p>
  </w:footnote>
  <w:footnote w:type="continuationSeparator" w:id="0">
    <w:p w:rsidR="008F4C10" w:rsidRDefault="008F4C10" w:rsidP="00BB640B">
      <w:r>
        <w:continuationSeparator/>
      </w:r>
    </w:p>
    <w:p w:rsidR="008F4C10" w:rsidRDefault="008F4C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7">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9">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21288"/>
    <w:multiLevelType w:val="multilevel"/>
    <w:tmpl w:val="1492709C"/>
    <w:numStyleLink w:val="AERHeadings"/>
  </w:abstractNum>
  <w:abstractNum w:abstractNumId="12">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3">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4">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18">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19">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8"/>
  </w:num>
  <w:num w:numId="3">
    <w:abstractNumId w:val="3"/>
  </w:num>
  <w:num w:numId="4">
    <w:abstractNumId w:val="13"/>
  </w:num>
  <w:num w:numId="5">
    <w:abstractNumId w:val="9"/>
  </w:num>
  <w:num w:numId="6">
    <w:abstractNumId w:val="19"/>
  </w:num>
  <w:num w:numId="7">
    <w:abstractNumId w:val="22"/>
  </w:num>
  <w:num w:numId="8">
    <w:abstractNumId w:val="24"/>
  </w:num>
  <w:num w:numId="9">
    <w:abstractNumId w:val="5"/>
  </w:num>
  <w:num w:numId="10">
    <w:abstractNumId w:val="8"/>
  </w:num>
  <w:num w:numId="11">
    <w:abstractNumId w:val="6"/>
  </w:num>
  <w:num w:numId="12">
    <w:abstractNumId w:val="15"/>
  </w:num>
  <w:num w:numId="13">
    <w:abstractNumId w:val="11"/>
  </w:num>
  <w:num w:numId="14">
    <w:abstractNumId w:val="12"/>
  </w:num>
  <w:num w:numId="15">
    <w:abstractNumId w:val="23"/>
  </w:num>
  <w:num w:numId="16">
    <w:abstractNumId w:val="14"/>
  </w:num>
  <w:num w:numId="17">
    <w:abstractNumId w:val="21"/>
  </w:num>
  <w:num w:numId="18">
    <w:abstractNumId w:val="17"/>
  </w:num>
  <w:num w:numId="19">
    <w:abstractNumId w:val="1"/>
  </w:num>
  <w:num w:numId="20">
    <w:abstractNumId w:val="11"/>
  </w:num>
  <w:num w:numId="21">
    <w:abstractNumId w:val="11"/>
  </w:num>
  <w:num w:numId="22">
    <w:abstractNumId w:val="11"/>
  </w:num>
  <w:num w:numId="23">
    <w:abstractNumId w:val="2"/>
  </w:num>
  <w:num w:numId="24">
    <w:abstractNumId w:val="22"/>
  </w:num>
  <w:num w:numId="25">
    <w:abstractNumId w:val="22"/>
  </w:num>
  <w:num w:numId="26">
    <w:abstractNumId w:val="22"/>
  </w:num>
  <w:num w:numId="27">
    <w:abstractNumId w:val="22"/>
  </w:num>
  <w:num w:numId="28">
    <w:abstractNumId w:val="0"/>
  </w:num>
  <w:num w:numId="29">
    <w:abstractNumId w:val="16"/>
  </w:num>
  <w:num w:numId="30">
    <w:abstractNumId w:val="22"/>
  </w:num>
  <w:num w:numId="31">
    <w:abstractNumId w:val="22"/>
  </w:num>
  <w:num w:numId="32">
    <w:abstractNumId w:val="22"/>
  </w:num>
  <w:num w:numId="33">
    <w:abstractNumId w:val="22"/>
  </w:num>
  <w:num w:numId="34">
    <w:abstractNumId w:val="22"/>
  </w:num>
  <w:num w:numId="35">
    <w:abstractNumId w:val="11"/>
  </w:num>
  <w:num w:numId="36">
    <w:abstractNumId w:val="22"/>
  </w:num>
  <w:num w:numId="37">
    <w:abstractNumId w:val="11"/>
  </w:num>
  <w:num w:numId="38">
    <w:abstractNumId w:val="7"/>
  </w:num>
  <w:num w:numId="39">
    <w:abstractNumId w:val="22"/>
  </w:num>
  <w:num w:numId="40">
    <w:abstractNumId w:val="22"/>
  </w:num>
  <w:num w:numId="41">
    <w:abstractNumId w:val="20"/>
  </w:num>
  <w:num w:numId="42">
    <w:abstractNumId w:val="6"/>
  </w:num>
  <w:num w:numId="43">
    <w:abstractNumId w:val="22"/>
  </w:num>
  <w:num w:numId="4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3706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SCBRFS001.accc.local\home$\adrae\20131215 - 20131221 Electricity weekly report.DOCX"/>
  </w:docVars>
  <w:rsids>
    <w:rsidRoot w:val="00F75FBD"/>
    <w:rsid w:val="00000080"/>
    <w:rsid w:val="0000035D"/>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2AC"/>
    <w:rsid w:val="000139F3"/>
    <w:rsid w:val="000140DC"/>
    <w:rsid w:val="00014B8F"/>
    <w:rsid w:val="00015040"/>
    <w:rsid w:val="00015050"/>
    <w:rsid w:val="000158C2"/>
    <w:rsid w:val="000161BF"/>
    <w:rsid w:val="000163E1"/>
    <w:rsid w:val="000168B6"/>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285"/>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D07"/>
    <w:rsid w:val="00041E93"/>
    <w:rsid w:val="00042733"/>
    <w:rsid w:val="000427C9"/>
    <w:rsid w:val="00042ADE"/>
    <w:rsid w:val="00043705"/>
    <w:rsid w:val="00043981"/>
    <w:rsid w:val="00043CB9"/>
    <w:rsid w:val="00044126"/>
    <w:rsid w:val="00044279"/>
    <w:rsid w:val="00044445"/>
    <w:rsid w:val="0004466C"/>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91C"/>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8FA"/>
    <w:rsid w:val="00060A54"/>
    <w:rsid w:val="00060F51"/>
    <w:rsid w:val="00061148"/>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428"/>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D14"/>
    <w:rsid w:val="00091D9E"/>
    <w:rsid w:val="00091DAD"/>
    <w:rsid w:val="00091F5F"/>
    <w:rsid w:val="00092C23"/>
    <w:rsid w:val="00093537"/>
    <w:rsid w:val="0009394B"/>
    <w:rsid w:val="00094268"/>
    <w:rsid w:val="00094494"/>
    <w:rsid w:val="0009492F"/>
    <w:rsid w:val="0009523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680"/>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8B7"/>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4E89"/>
    <w:rsid w:val="000D50E4"/>
    <w:rsid w:val="000D556E"/>
    <w:rsid w:val="000D565D"/>
    <w:rsid w:val="000D5859"/>
    <w:rsid w:val="000D59C5"/>
    <w:rsid w:val="000D5C60"/>
    <w:rsid w:val="000D621F"/>
    <w:rsid w:val="000D6338"/>
    <w:rsid w:val="000D6784"/>
    <w:rsid w:val="000D752A"/>
    <w:rsid w:val="000D756E"/>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744"/>
    <w:rsid w:val="000F1B0E"/>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A15"/>
    <w:rsid w:val="00100D7C"/>
    <w:rsid w:val="00100E58"/>
    <w:rsid w:val="0010112B"/>
    <w:rsid w:val="0010147A"/>
    <w:rsid w:val="00101A76"/>
    <w:rsid w:val="00101FB4"/>
    <w:rsid w:val="00102195"/>
    <w:rsid w:val="001026C8"/>
    <w:rsid w:val="001032E7"/>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36D"/>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D00"/>
    <w:rsid w:val="00145D36"/>
    <w:rsid w:val="00145FE5"/>
    <w:rsid w:val="00146536"/>
    <w:rsid w:val="00146BC7"/>
    <w:rsid w:val="00146C40"/>
    <w:rsid w:val="001472F5"/>
    <w:rsid w:val="001472F9"/>
    <w:rsid w:val="00147350"/>
    <w:rsid w:val="0014743E"/>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2156"/>
    <w:rsid w:val="00162981"/>
    <w:rsid w:val="00162A10"/>
    <w:rsid w:val="00162A5C"/>
    <w:rsid w:val="00162B31"/>
    <w:rsid w:val="00162BC3"/>
    <w:rsid w:val="001630F0"/>
    <w:rsid w:val="001631FB"/>
    <w:rsid w:val="001638E9"/>
    <w:rsid w:val="00163B60"/>
    <w:rsid w:val="00163EE3"/>
    <w:rsid w:val="0016419A"/>
    <w:rsid w:val="00164D13"/>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4E3A"/>
    <w:rsid w:val="001755E1"/>
    <w:rsid w:val="00175B89"/>
    <w:rsid w:val="00175B91"/>
    <w:rsid w:val="00175CC8"/>
    <w:rsid w:val="001762F5"/>
    <w:rsid w:val="001765B8"/>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4C4"/>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655"/>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B0238"/>
    <w:rsid w:val="001B08F0"/>
    <w:rsid w:val="001B09ED"/>
    <w:rsid w:val="001B0F0D"/>
    <w:rsid w:val="001B0F2C"/>
    <w:rsid w:val="001B1087"/>
    <w:rsid w:val="001B10EE"/>
    <w:rsid w:val="001B14AD"/>
    <w:rsid w:val="001B16CF"/>
    <w:rsid w:val="001B174B"/>
    <w:rsid w:val="001B1791"/>
    <w:rsid w:val="001B181E"/>
    <w:rsid w:val="001B1C2E"/>
    <w:rsid w:val="001B1EC4"/>
    <w:rsid w:val="001B1FBF"/>
    <w:rsid w:val="001B21A9"/>
    <w:rsid w:val="001B2489"/>
    <w:rsid w:val="001B24BE"/>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582"/>
    <w:rsid w:val="001C5A5A"/>
    <w:rsid w:val="001C5B0B"/>
    <w:rsid w:val="001C5C7A"/>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D07"/>
    <w:rsid w:val="001D1E64"/>
    <w:rsid w:val="001D1FC4"/>
    <w:rsid w:val="001D2239"/>
    <w:rsid w:val="001D22A3"/>
    <w:rsid w:val="001D22C3"/>
    <w:rsid w:val="001D282B"/>
    <w:rsid w:val="001D28CC"/>
    <w:rsid w:val="001D2930"/>
    <w:rsid w:val="001D3099"/>
    <w:rsid w:val="001D30C8"/>
    <w:rsid w:val="001D35EE"/>
    <w:rsid w:val="001D38CA"/>
    <w:rsid w:val="001D3F0D"/>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38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3DC"/>
    <w:rsid w:val="001F2485"/>
    <w:rsid w:val="001F2567"/>
    <w:rsid w:val="001F2576"/>
    <w:rsid w:val="001F2A91"/>
    <w:rsid w:val="001F2CA4"/>
    <w:rsid w:val="001F2DFB"/>
    <w:rsid w:val="001F3154"/>
    <w:rsid w:val="001F31DD"/>
    <w:rsid w:val="001F3D89"/>
    <w:rsid w:val="001F3EB9"/>
    <w:rsid w:val="001F3F6F"/>
    <w:rsid w:val="001F419C"/>
    <w:rsid w:val="001F4BA5"/>
    <w:rsid w:val="001F516E"/>
    <w:rsid w:val="001F5236"/>
    <w:rsid w:val="001F539F"/>
    <w:rsid w:val="001F5814"/>
    <w:rsid w:val="001F5B3C"/>
    <w:rsid w:val="001F5BCA"/>
    <w:rsid w:val="001F5F7D"/>
    <w:rsid w:val="001F61A7"/>
    <w:rsid w:val="001F6894"/>
    <w:rsid w:val="001F6DE6"/>
    <w:rsid w:val="001F6F5A"/>
    <w:rsid w:val="001F6F7C"/>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6F43"/>
    <w:rsid w:val="00207360"/>
    <w:rsid w:val="002076A5"/>
    <w:rsid w:val="00207B67"/>
    <w:rsid w:val="00210403"/>
    <w:rsid w:val="00210A3D"/>
    <w:rsid w:val="00210FB5"/>
    <w:rsid w:val="002119A0"/>
    <w:rsid w:val="00211E13"/>
    <w:rsid w:val="002121B9"/>
    <w:rsid w:val="00212261"/>
    <w:rsid w:val="0021246E"/>
    <w:rsid w:val="00212B63"/>
    <w:rsid w:val="00212D2F"/>
    <w:rsid w:val="00213289"/>
    <w:rsid w:val="002133F3"/>
    <w:rsid w:val="002137C5"/>
    <w:rsid w:val="00213B6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5B6"/>
    <w:rsid w:val="00237FD8"/>
    <w:rsid w:val="0024029A"/>
    <w:rsid w:val="002403EA"/>
    <w:rsid w:val="002407BB"/>
    <w:rsid w:val="00240A6C"/>
    <w:rsid w:val="00240E5C"/>
    <w:rsid w:val="00240FFE"/>
    <w:rsid w:val="00241160"/>
    <w:rsid w:val="00241649"/>
    <w:rsid w:val="002419A8"/>
    <w:rsid w:val="00241B1F"/>
    <w:rsid w:val="00241BB4"/>
    <w:rsid w:val="00241C07"/>
    <w:rsid w:val="00241E39"/>
    <w:rsid w:val="002420CD"/>
    <w:rsid w:val="002422F1"/>
    <w:rsid w:val="00242739"/>
    <w:rsid w:val="002427D4"/>
    <w:rsid w:val="002427E6"/>
    <w:rsid w:val="00242916"/>
    <w:rsid w:val="00242E6B"/>
    <w:rsid w:val="00243313"/>
    <w:rsid w:val="002433CA"/>
    <w:rsid w:val="002437A1"/>
    <w:rsid w:val="002437FD"/>
    <w:rsid w:val="0024397E"/>
    <w:rsid w:val="002439DC"/>
    <w:rsid w:val="00243E0F"/>
    <w:rsid w:val="00243E90"/>
    <w:rsid w:val="0024496B"/>
    <w:rsid w:val="00244A9F"/>
    <w:rsid w:val="00244BF9"/>
    <w:rsid w:val="00244C40"/>
    <w:rsid w:val="002450F9"/>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A6E"/>
    <w:rsid w:val="002721F1"/>
    <w:rsid w:val="00272536"/>
    <w:rsid w:val="00272A20"/>
    <w:rsid w:val="00272D47"/>
    <w:rsid w:val="002735F7"/>
    <w:rsid w:val="002738A4"/>
    <w:rsid w:val="00273914"/>
    <w:rsid w:val="0027399A"/>
    <w:rsid w:val="00273AF7"/>
    <w:rsid w:val="00274373"/>
    <w:rsid w:val="00274883"/>
    <w:rsid w:val="00274BCB"/>
    <w:rsid w:val="00274BE0"/>
    <w:rsid w:val="00274D3A"/>
    <w:rsid w:val="00275255"/>
    <w:rsid w:val="00275351"/>
    <w:rsid w:val="00275579"/>
    <w:rsid w:val="002761E3"/>
    <w:rsid w:val="002766A5"/>
    <w:rsid w:val="002768DF"/>
    <w:rsid w:val="00276916"/>
    <w:rsid w:val="00276C91"/>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5F5D"/>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0E16"/>
    <w:rsid w:val="002B1046"/>
    <w:rsid w:val="002B132D"/>
    <w:rsid w:val="002B1376"/>
    <w:rsid w:val="002B1394"/>
    <w:rsid w:val="002B19AF"/>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CC1"/>
    <w:rsid w:val="002B7F40"/>
    <w:rsid w:val="002C0228"/>
    <w:rsid w:val="002C0690"/>
    <w:rsid w:val="002C073B"/>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BBA"/>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3BE"/>
    <w:rsid w:val="002F0541"/>
    <w:rsid w:val="002F05B0"/>
    <w:rsid w:val="002F064D"/>
    <w:rsid w:val="002F095A"/>
    <w:rsid w:val="002F0A0E"/>
    <w:rsid w:val="002F13F5"/>
    <w:rsid w:val="002F159B"/>
    <w:rsid w:val="002F1646"/>
    <w:rsid w:val="002F1CA2"/>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4A87"/>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4798A"/>
    <w:rsid w:val="00347D46"/>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AC5"/>
    <w:rsid w:val="00355828"/>
    <w:rsid w:val="003558BC"/>
    <w:rsid w:val="00355DA9"/>
    <w:rsid w:val="00356062"/>
    <w:rsid w:val="003560C9"/>
    <w:rsid w:val="00356145"/>
    <w:rsid w:val="0035621E"/>
    <w:rsid w:val="00356758"/>
    <w:rsid w:val="0035692B"/>
    <w:rsid w:val="00357CFB"/>
    <w:rsid w:val="00357D7F"/>
    <w:rsid w:val="003600DB"/>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95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20AF"/>
    <w:rsid w:val="003826A1"/>
    <w:rsid w:val="00382D18"/>
    <w:rsid w:val="00383082"/>
    <w:rsid w:val="00383296"/>
    <w:rsid w:val="003836D9"/>
    <w:rsid w:val="003836E3"/>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3DF"/>
    <w:rsid w:val="00394A8D"/>
    <w:rsid w:val="00394E07"/>
    <w:rsid w:val="0039505C"/>
    <w:rsid w:val="00395556"/>
    <w:rsid w:val="00395D86"/>
    <w:rsid w:val="003960A2"/>
    <w:rsid w:val="003961C0"/>
    <w:rsid w:val="003962F2"/>
    <w:rsid w:val="003966BE"/>
    <w:rsid w:val="00396E7C"/>
    <w:rsid w:val="00396F87"/>
    <w:rsid w:val="003972AC"/>
    <w:rsid w:val="00397A76"/>
    <w:rsid w:val="00397DA8"/>
    <w:rsid w:val="00397E3D"/>
    <w:rsid w:val="003A12D3"/>
    <w:rsid w:val="003A1800"/>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6F"/>
    <w:rsid w:val="003A68B0"/>
    <w:rsid w:val="003A69F8"/>
    <w:rsid w:val="003A6A5A"/>
    <w:rsid w:val="003A6F72"/>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F87"/>
    <w:rsid w:val="003B7158"/>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725"/>
    <w:rsid w:val="003C4B5F"/>
    <w:rsid w:val="003C526E"/>
    <w:rsid w:val="003C53C0"/>
    <w:rsid w:val="003C5D7B"/>
    <w:rsid w:val="003C5D95"/>
    <w:rsid w:val="003C6133"/>
    <w:rsid w:val="003C672B"/>
    <w:rsid w:val="003C6D98"/>
    <w:rsid w:val="003C700A"/>
    <w:rsid w:val="003C70FF"/>
    <w:rsid w:val="003D03B6"/>
    <w:rsid w:val="003D0A8A"/>
    <w:rsid w:val="003D0B3A"/>
    <w:rsid w:val="003D0B72"/>
    <w:rsid w:val="003D0C60"/>
    <w:rsid w:val="003D0CD0"/>
    <w:rsid w:val="003D28BC"/>
    <w:rsid w:val="003D2976"/>
    <w:rsid w:val="003D2B67"/>
    <w:rsid w:val="003D2CB4"/>
    <w:rsid w:val="003D2E1C"/>
    <w:rsid w:val="003D30B1"/>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1056"/>
    <w:rsid w:val="003F1485"/>
    <w:rsid w:val="003F15FE"/>
    <w:rsid w:val="003F21ED"/>
    <w:rsid w:val="003F2650"/>
    <w:rsid w:val="003F2B11"/>
    <w:rsid w:val="003F33D9"/>
    <w:rsid w:val="003F34B8"/>
    <w:rsid w:val="003F3A03"/>
    <w:rsid w:val="003F3FFD"/>
    <w:rsid w:val="003F4158"/>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3BE"/>
    <w:rsid w:val="00404457"/>
    <w:rsid w:val="0040469F"/>
    <w:rsid w:val="004048D9"/>
    <w:rsid w:val="00404945"/>
    <w:rsid w:val="00404B0C"/>
    <w:rsid w:val="00404C27"/>
    <w:rsid w:val="0040506D"/>
    <w:rsid w:val="0040571A"/>
    <w:rsid w:val="0040578D"/>
    <w:rsid w:val="0040591E"/>
    <w:rsid w:val="00405BEE"/>
    <w:rsid w:val="00405D63"/>
    <w:rsid w:val="00405DC5"/>
    <w:rsid w:val="0040603A"/>
    <w:rsid w:val="00406085"/>
    <w:rsid w:val="004065D5"/>
    <w:rsid w:val="00406727"/>
    <w:rsid w:val="004067AF"/>
    <w:rsid w:val="00406B0B"/>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46C"/>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24E"/>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5BE"/>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C6"/>
    <w:rsid w:val="00450C0D"/>
    <w:rsid w:val="00450CE0"/>
    <w:rsid w:val="0045140F"/>
    <w:rsid w:val="0045180A"/>
    <w:rsid w:val="0045190C"/>
    <w:rsid w:val="004523F8"/>
    <w:rsid w:val="00452828"/>
    <w:rsid w:val="00452B35"/>
    <w:rsid w:val="00453830"/>
    <w:rsid w:val="00453B8A"/>
    <w:rsid w:val="00453CD8"/>
    <w:rsid w:val="00453F9C"/>
    <w:rsid w:val="0045437C"/>
    <w:rsid w:val="00454727"/>
    <w:rsid w:val="0045484F"/>
    <w:rsid w:val="00454980"/>
    <w:rsid w:val="00454C75"/>
    <w:rsid w:val="00454FB3"/>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17FA"/>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59B9"/>
    <w:rsid w:val="00485A8B"/>
    <w:rsid w:val="0048629D"/>
    <w:rsid w:val="00486553"/>
    <w:rsid w:val="0048688D"/>
    <w:rsid w:val="004868E3"/>
    <w:rsid w:val="0048746C"/>
    <w:rsid w:val="00487582"/>
    <w:rsid w:val="00487788"/>
    <w:rsid w:val="00490068"/>
    <w:rsid w:val="00490080"/>
    <w:rsid w:val="004902CA"/>
    <w:rsid w:val="004902EB"/>
    <w:rsid w:val="00490335"/>
    <w:rsid w:val="00490369"/>
    <w:rsid w:val="00490779"/>
    <w:rsid w:val="004909D7"/>
    <w:rsid w:val="004909DF"/>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4A75"/>
    <w:rsid w:val="00495278"/>
    <w:rsid w:val="004952FA"/>
    <w:rsid w:val="00496957"/>
    <w:rsid w:val="00496AD3"/>
    <w:rsid w:val="00497392"/>
    <w:rsid w:val="004973E5"/>
    <w:rsid w:val="00497F10"/>
    <w:rsid w:val="004A04FA"/>
    <w:rsid w:val="004A0708"/>
    <w:rsid w:val="004A0919"/>
    <w:rsid w:val="004A110D"/>
    <w:rsid w:val="004A16C4"/>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4D67"/>
    <w:rsid w:val="004A5199"/>
    <w:rsid w:val="004A522C"/>
    <w:rsid w:val="004A567A"/>
    <w:rsid w:val="004A56D1"/>
    <w:rsid w:val="004A5EF2"/>
    <w:rsid w:val="004A5F17"/>
    <w:rsid w:val="004A5F3B"/>
    <w:rsid w:val="004A60F0"/>
    <w:rsid w:val="004A619D"/>
    <w:rsid w:val="004A6313"/>
    <w:rsid w:val="004A645E"/>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BE8"/>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2DF6"/>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70D9"/>
    <w:rsid w:val="004E7CB0"/>
    <w:rsid w:val="004E7DE8"/>
    <w:rsid w:val="004E7F54"/>
    <w:rsid w:val="004E7FB6"/>
    <w:rsid w:val="004F01A2"/>
    <w:rsid w:val="004F0381"/>
    <w:rsid w:val="004F095F"/>
    <w:rsid w:val="004F0A2C"/>
    <w:rsid w:val="004F1335"/>
    <w:rsid w:val="004F16D3"/>
    <w:rsid w:val="004F1A05"/>
    <w:rsid w:val="004F1FC9"/>
    <w:rsid w:val="004F1FCA"/>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29C"/>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5E93"/>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3DCC"/>
    <w:rsid w:val="0052471C"/>
    <w:rsid w:val="005248BB"/>
    <w:rsid w:val="00524AC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6CC"/>
    <w:rsid w:val="0054173A"/>
    <w:rsid w:val="00541CC2"/>
    <w:rsid w:val="00541DB8"/>
    <w:rsid w:val="0054213D"/>
    <w:rsid w:val="00542160"/>
    <w:rsid w:val="00542D33"/>
    <w:rsid w:val="00543297"/>
    <w:rsid w:val="0054349D"/>
    <w:rsid w:val="005447EF"/>
    <w:rsid w:val="00545683"/>
    <w:rsid w:val="00545F4C"/>
    <w:rsid w:val="00546DF3"/>
    <w:rsid w:val="00546E9D"/>
    <w:rsid w:val="00546EFE"/>
    <w:rsid w:val="00546FA5"/>
    <w:rsid w:val="00546FB7"/>
    <w:rsid w:val="005471B8"/>
    <w:rsid w:val="0054783D"/>
    <w:rsid w:val="0054796E"/>
    <w:rsid w:val="00547A56"/>
    <w:rsid w:val="00547B78"/>
    <w:rsid w:val="005503AD"/>
    <w:rsid w:val="00550A50"/>
    <w:rsid w:val="00550B00"/>
    <w:rsid w:val="00551309"/>
    <w:rsid w:val="0055187A"/>
    <w:rsid w:val="00552334"/>
    <w:rsid w:val="005523F2"/>
    <w:rsid w:val="00552680"/>
    <w:rsid w:val="00552700"/>
    <w:rsid w:val="00552A51"/>
    <w:rsid w:val="00552FDC"/>
    <w:rsid w:val="0055334B"/>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095"/>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4CD"/>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5B"/>
    <w:rsid w:val="00577E7F"/>
    <w:rsid w:val="005804A7"/>
    <w:rsid w:val="005806A7"/>
    <w:rsid w:val="00580968"/>
    <w:rsid w:val="00580AAB"/>
    <w:rsid w:val="005816D9"/>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51E"/>
    <w:rsid w:val="00594574"/>
    <w:rsid w:val="00594BC9"/>
    <w:rsid w:val="00594DA0"/>
    <w:rsid w:val="00595C72"/>
    <w:rsid w:val="00595CA7"/>
    <w:rsid w:val="00595DE4"/>
    <w:rsid w:val="00595E8D"/>
    <w:rsid w:val="00596BF8"/>
    <w:rsid w:val="005972FD"/>
    <w:rsid w:val="00597EF9"/>
    <w:rsid w:val="00597FC8"/>
    <w:rsid w:val="005A03A4"/>
    <w:rsid w:val="005A0641"/>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3F6B"/>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40CA"/>
    <w:rsid w:val="005C413D"/>
    <w:rsid w:val="005C4395"/>
    <w:rsid w:val="005C46D9"/>
    <w:rsid w:val="005C47A5"/>
    <w:rsid w:val="005C47B6"/>
    <w:rsid w:val="005C47BE"/>
    <w:rsid w:val="005C4BBB"/>
    <w:rsid w:val="005C4BF2"/>
    <w:rsid w:val="005C4D13"/>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3FB1"/>
    <w:rsid w:val="005D42A5"/>
    <w:rsid w:val="005D4B3D"/>
    <w:rsid w:val="005D4B4D"/>
    <w:rsid w:val="005D57DB"/>
    <w:rsid w:val="005D5A53"/>
    <w:rsid w:val="005D5A60"/>
    <w:rsid w:val="005D5B4C"/>
    <w:rsid w:val="005D5CAC"/>
    <w:rsid w:val="005D6052"/>
    <w:rsid w:val="005D6BBB"/>
    <w:rsid w:val="005D7249"/>
    <w:rsid w:val="005D7EE4"/>
    <w:rsid w:val="005E0365"/>
    <w:rsid w:val="005E0A23"/>
    <w:rsid w:val="005E0F4D"/>
    <w:rsid w:val="005E1309"/>
    <w:rsid w:val="005E1B0F"/>
    <w:rsid w:val="005E1C52"/>
    <w:rsid w:val="005E1E35"/>
    <w:rsid w:val="005E2187"/>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4F33"/>
    <w:rsid w:val="005F51D5"/>
    <w:rsid w:val="005F5352"/>
    <w:rsid w:val="005F5EC4"/>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936"/>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61C"/>
    <w:rsid w:val="0060567F"/>
    <w:rsid w:val="00605858"/>
    <w:rsid w:val="006064DB"/>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8D5"/>
    <w:rsid w:val="00616A12"/>
    <w:rsid w:val="00616A82"/>
    <w:rsid w:val="00616C7F"/>
    <w:rsid w:val="00616EE7"/>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48E"/>
    <w:rsid w:val="006338D1"/>
    <w:rsid w:val="00633A70"/>
    <w:rsid w:val="00633A93"/>
    <w:rsid w:val="00633BDD"/>
    <w:rsid w:val="0063414E"/>
    <w:rsid w:val="00634758"/>
    <w:rsid w:val="006349A8"/>
    <w:rsid w:val="00635550"/>
    <w:rsid w:val="00635B70"/>
    <w:rsid w:val="00635C9F"/>
    <w:rsid w:val="00635FD1"/>
    <w:rsid w:val="0063617A"/>
    <w:rsid w:val="00636216"/>
    <w:rsid w:val="006366F3"/>
    <w:rsid w:val="00636B32"/>
    <w:rsid w:val="00636B96"/>
    <w:rsid w:val="00637109"/>
    <w:rsid w:val="006378A5"/>
    <w:rsid w:val="00637B2C"/>
    <w:rsid w:val="006402EE"/>
    <w:rsid w:val="0064065F"/>
    <w:rsid w:val="006408E2"/>
    <w:rsid w:val="006409D2"/>
    <w:rsid w:val="00640D2F"/>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65F"/>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307"/>
    <w:rsid w:val="00657736"/>
    <w:rsid w:val="00657737"/>
    <w:rsid w:val="00657CCF"/>
    <w:rsid w:val="00660079"/>
    <w:rsid w:val="0066021E"/>
    <w:rsid w:val="0066027E"/>
    <w:rsid w:val="0066060A"/>
    <w:rsid w:val="00660813"/>
    <w:rsid w:val="0066120B"/>
    <w:rsid w:val="006613D4"/>
    <w:rsid w:val="0066144B"/>
    <w:rsid w:val="00661FBF"/>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DE7"/>
    <w:rsid w:val="00675110"/>
    <w:rsid w:val="006751E1"/>
    <w:rsid w:val="0067547B"/>
    <w:rsid w:val="00675AB6"/>
    <w:rsid w:val="00675D7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5D2"/>
    <w:rsid w:val="006A0835"/>
    <w:rsid w:val="006A0B86"/>
    <w:rsid w:val="006A0D68"/>
    <w:rsid w:val="006A0FB3"/>
    <w:rsid w:val="006A129B"/>
    <w:rsid w:val="006A17DB"/>
    <w:rsid w:val="006A2C46"/>
    <w:rsid w:val="006A4343"/>
    <w:rsid w:val="006A498A"/>
    <w:rsid w:val="006A519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DEF"/>
    <w:rsid w:val="006B11BE"/>
    <w:rsid w:val="006B174A"/>
    <w:rsid w:val="006B1BAB"/>
    <w:rsid w:val="006B1E76"/>
    <w:rsid w:val="006B1F6A"/>
    <w:rsid w:val="006B264A"/>
    <w:rsid w:val="006B276B"/>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535"/>
    <w:rsid w:val="006C1C96"/>
    <w:rsid w:val="006C1ED5"/>
    <w:rsid w:val="006C2050"/>
    <w:rsid w:val="006C22C8"/>
    <w:rsid w:val="006C2697"/>
    <w:rsid w:val="006C28BE"/>
    <w:rsid w:val="006C2ACF"/>
    <w:rsid w:val="006C2B4A"/>
    <w:rsid w:val="006C2BC5"/>
    <w:rsid w:val="006C2E36"/>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0C63"/>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542"/>
    <w:rsid w:val="006D48A6"/>
    <w:rsid w:val="006D4990"/>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A4C"/>
    <w:rsid w:val="006E091D"/>
    <w:rsid w:val="006E0B17"/>
    <w:rsid w:val="006E0FC3"/>
    <w:rsid w:val="006E104F"/>
    <w:rsid w:val="006E15EB"/>
    <w:rsid w:val="006E199B"/>
    <w:rsid w:val="006E1AC6"/>
    <w:rsid w:val="006E1B68"/>
    <w:rsid w:val="006E20D9"/>
    <w:rsid w:val="006E27EB"/>
    <w:rsid w:val="006E3076"/>
    <w:rsid w:val="006E32F7"/>
    <w:rsid w:val="006E458C"/>
    <w:rsid w:val="006E4BE4"/>
    <w:rsid w:val="006E4BFD"/>
    <w:rsid w:val="006E5A8E"/>
    <w:rsid w:val="006E5C01"/>
    <w:rsid w:val="006E5C87"/>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832"/>
    <w:rsid w:val="006F6DCE"/>
    <w:rsid w:val="006F6F9D"/>
    <w:rsid w:val="006F72E2"/>
    <w:rsid w:val="006F7359"/>
    <w:rsid w:val="006F7931"/>
    <w:rsid w:val="006F7DCE"/>
    <w:rsid w:val="00700155"/>
    <w:rsid w:val="007001F0"/>
    <w:rsid w:val="0070046E"/>
    <w:rsid w:val="00700F67"/>
    <w:rsid w:val="00701054"/>
    <w:rsid w:val="007017F3"/>
    <w:rsid w:val="00701A4C"/>
    <w:rsid w:val="00701C28"/>
    <w:rsid w:val="00701E61"/>
    <w:rsid w:val="007021B9"/>
    <w:rsid w:val="007024D5"/>
    <w:rsid w:val="00702A28"/>
    <w:rsid w:val="00702A41"/>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4B28"/>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2E0"/>
    <w:rsid w:val="00740705"/>
    <w:rsid w:val="007407A3"/>
    <w:rsid w:val="00740801"/>
    <w:rsid w:val="007408A9"/>
    <w:rsid w:val="00740979"/>
    <w:rsid w:val="00740BD4"/>
    <w:rsid w:val="00740CF3"/>
    <w:rsid w:val="00740EB4"/>
    <w:rsid w:val="007413D1"/>
    <w:rsid w:val="00741497"/>
    <w:rsid w:val="0074149E"/>
    <w:rsid w:val="00741C7E"/>
    <w:rsid w:val="00741DBF"/>
    <w:rsid w:val="00741EEA"/>
    <w:rsid w:val="00741FCD"/>
    <w:rsid w:val="007420C7"/>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5EB5"/>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3E8"/>
    <w:rsid w:val="00777482"/>
    <w:rsid w:val="007778B6"/>
    <w:rsid w:val="00777A20"/>
    <w:rsid w:val="00777AEE"/>
    <w:rsid w:val="00777CD4"/>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51F2"/>
    <w:rsid w:val="007952F1"/>
    <w:rsid w:val="00795DDE"/>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CDA"/>
    <w:rsid w:val="007A6D5F"/>
    <w:rsid w:val="007A70BB"/>
    <w:rsid w:val="007A7554"/>
    <w:rsid w:val="007A775D"/>
    <w:rsid w:val="007A788B"/>
    <w:rsid w:val="007A78F7"/>
    <w:rsid w:val="007A7959"/>
    <w:rsid w:val="007B0125"/>
    <w:rsid w:val="007B02D8"/>
    <w:rsid w:val="007B09BE"/>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3C0"/>
    <w:rsid w:val="007C56F6"/>
    <w:rsid w:val="007C5C0C"/>
    <w:rsid w:val="007C5E2A"/>
    <w:rsid w:val="007C5EB3"/>
    <w:rsid w:val="007C5EED"/>
    <w:rsid w:val="007C659D"/>
    <w:rsid w:val="007C6B42"/>
    <w:rsid w:val="007C70FF"/>
    <w:rsid w:val="007C747C"/>
    <w:rsid w:val="007C74E7"/>
    <w:rsid w:val="007C7FD7"/>
    <w:rsid w:val="007D0203"/>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18C"/>
    <w:rsid w:val="007E01E2"/>
    <w:rsid w:val="007E022D"/>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EA2"/>
    <w:rsid w:val="007F6F67"/>
    <w:rsid w:val="00800404"/>
    <w:rsid w:val="00800701"/>
    <w:rsid w:val="008007B8"/>
    <w:rsid w:val="00800ABF"/>
    <w:rsid w:val="00800B64"/>
    <w:rsid w:val="00800B6C"/>
    <w:rsid w:val="00800DD9"/>
    <w:rsid w:val="008010BC"/>
    <w:rsid w:val="0080129E"/>
    <w:rsid w:val="008014E3"/>
    <w:rsid w:val="00801B4D"/>
    <w:rsid w:val="00801DDB"/>
    <w:rsid w:val="008026A2"/>
    <w:rsid w:val="00802CE8"/>
    <w:rsid w:val="00802D85"/>
    <w:rsid w:val="00802FE5"/>
    <w:rsid w:val="008034BB"/>
    <w:rsid w:val="0080365B"/>
    <w:rsid w:val="00803D64"/>
    <w:rsid w:val="00803D68"/>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8F"/>
    <w:rsid w:val="008160C5"/>
    <w:rsid w:val="00816648"/>
    <w:rsid w:val="008166FF"/>
    <w:rsid w:val="0081783F"/>
    <w:rsid w:val="00817CB4"/>
    <w:rsid w:val="008204E0"/>
    <w:rsid w:val="00820F14"/>
    <w:rsid w:val="00820F5D"/>
    <w:rsid w:val="0082140F"/>
    <w:rsid w:val="00821624"/>
    <w:rsid w:val="00821724"/>
    <w:rsid w:val="00821F49"/>
    <w:rsid w:val="008220CF"/>
    <w:rsid w:val="00822571"/>
    <w:rsid w:val="008226D7"/>
    <w:rsid w:val="008229D8"/>
    <w:rsid w:val="00822B6F"/>
    <w:rsid w:val="00822CCF"/>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40B"/>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DC0"/>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818"/>
    <w:rsid w:val="008A4AF6"/>
    <w:rsid w:val="008A4C0D"/>
    <w:rsid w:val="008A4C2E"/>
    <w:rsid w:val="008A4EDB"/>
    <w:rsid w:val="008A5A94"/>
    <w:rsid w:val="008A5D42"/>
    <w:rsid w:val="008A5DEA"/>
    <w:rsid w:val="008A5F06"/>
    <w:rsid w:val="008A61A2"/>
    <w:rsid w:val="008A6462"/>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97E"/>
    <w:rsid w:val="008B2AB7"/>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540B"/>
    <w:rsid w:val="008C54A5"/>
    <w:rsid w:val="008C555F"/>
    <w:rsid w:val="008C572A"/>
    <w:rsid w:val="008C575F"/>
    <w:rsid w:val="008C58C7"/>
    <w:rsid w:val="008C5F72"/>
    <w:rsid w:val="008C64AD"/>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4EB"/>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730"/>
    <w:rsid w:val="008E7B85"/>
    <w:rsid w:val="008E7FA6"/>
    <w:rsid w:val="008F02F6"/>
    <w:rsid w:val="008F041B"/>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722"/>
    <w:rsid w:val="008F40E0"/>
    <w:rsid w:val="008F4282"/>
    <w:rsid w:val="008F4C10"/>
    <w:rsid w:val="008F4EDB"/>
    <w:rsid w:val="008F5140"/>
    <w:rsid w:val="008F51EB"/>
    <w:rsid w:val="008F545E"/>
    <w:rsid w:val="008F55F8"/>
    <w:rsid w:val="008F565E"/>
    <w:rsid w:val="008F5748"/>
    <w:rsid w:val="008F5953"/>
    <w:rsid w:val="008F5BE5"/>
    <w:rsid w:val="008F5D2C"/>
    <w:rsid w:val="008F5DA6"/>
    <w:rsid w:val="008F61FC"/>
    <w:rsid w:val="008F6221"/>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36E9"/>
    <w:rsid w:val="00913BA3"/>
    <w:rsid w:val="00913CFF"/>
    <w:rsid w:val="00913F7F"/>
    <w:rsid w:val="0091421E"/>
    <w:rsid w:val="00914596"/>
    <w:rsid w:val="0091459B"/>
    <w:rsid w:val="009147FF"/>
    <w:rsid w:val="009148A8"/>
    <w:rsid w:val="0091498B"/>
    <w:rsid w:val="0091516E"/>
    <w:rsid w:val="009151B6"/>
    <w:rsid w:val="0091533D"/>
    <w:rsid w:val="00915794"/>
    <w:rsid w:val="0091580A"/>
    <w:rsid w:val="00915BB8"/>
    <w:rsid w:val="00915C3B"/>
    <w:rsid w:val="00915DE6"/>
    <w:rsid w:val="00916048"/>
    <w:rsid w:val="00916A7C"/>
    <w:rsid w:val="00916FB2"/>
    <w:rsid w:val="0091768B"/>
    <w:rsid w:val="009177CA"/>
    <w:rsid w:val="0092005C"/>
    <w:rsid w:val="009204B7"/>
    <w:rsid w:val="0092059D"/>
    <w:rsid w:val="00920DED"/>
    <w:rsid w:val="00920E1E"/>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EDB"/>
    <w:rsid w:val="00942F4A"/>
    <w:rsid w:val="00943307"/>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869"/>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A6D"/>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25BD"/>
    <w:rsid w:val="009835C8"/>
    <w:rsid w:val="00983A05"/>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D23"/>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E39"/>
    <w:rsid w:val="009A7F04"/>
    <w:rsid w:val="009A7F87"/>
    <w:rsid w:val="009B1206"/>
    <w:rsid w:val="009B18C2"/>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0A6"/>
    <w:rsid w:val="009B5461"/>
    <w:rsid w:val="009B5B93"/>
    <w:rsid w:val="009B63B8"/>
    <w:rsid w:val="009B6967"/>
    <w:rsid w:val="009B6C63"/>
    <w:rsid w:val="009B6DDF"/>
    <w:rsid w:val="009B7206"/>
    <w:rsid w:val="009B770F"/>
    <w:rsid w:val="009B7AAD"/>
    <w:rsid w:val="009B7CA9"/>
    <w:rsid w:val="009B7DB4"/>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35C7"/>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8C4"/>
    <w:rsid w:val="009E1EAA"/>
    <w:rsid w:val="009E2293"/>
    <w:rsid w:val="009E252E"/>
    <w:rsid w:val="009E30C8"/>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91"/>
    <w:rsid w:val="009F249C"/>
    <w:rsid w:val="009F2875"/>
    <w:rsid w:val="009F335A"/>
    <w:rsid w:val="009F37B3"/>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810"/>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51"/>
    <w:rsid w:val="00A113BA"/>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E87"/>
    <w:rsid w:val="00A14EA5"/>
    <w:rsid w:val="00A15004"/>
    <w:rsid w:val="00A15666"/>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A2E"/>
    <w:rsid w:val="00A25B0E"/>
    <w:rsid w:val="00A25C09"/>
    <w:rsid w:val="00A25FBA"/>
    <w:rsid w:val="00A26E95"/>
    <w:rsid w:val="00A272A6"/>
    <w:rsid w:val="00A277F5"/>
    <w:rsid w:val="00A27826"/>
    <w:rsid w:val="00A30BEA"/>
    <w:rsid w:val="00A31917"/>
    <w:rsid w:val="00A319F0"/>
    <w:rsid w:val="00A321C8"/>
    <w:rsid w:val="00A32539"/>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5D6"/>
    <w:rsid w:val="00A45A69"/>
    <w:rsid w:val="00A45DC4"/>
    <w:rsid w:val="00A463B4"/>
    <w:rsid w:val="00A467A6"/>
    <w:rsid w:val="00A468C5"/>
    <w:rsid w:val="00A468CE"/>
    <w:rsid w:val="00A46992"/>
    <w:rsid w:val="00A46A57"/>
    <w:rsid w:val="00A46B3C"/>
    <w:rsid w:val="00A470C3"/>
    <w:rsid w:val="00A475D6"/>
    <w:rsid w:val="00A476DB"/>
    <w:rsid w:val="00A47ACF"/>
    <w:rsid w:val="00A500A3"/>
    <w:rsid w:val="00A500B9"/>
    <w:rsid w:val="00A50201"/>
    <w:rsid w:val="00A502AF"/>
    <w:rsid w:val="00A5091A"/>
    <w:rsid w:val="00A5094A"/>
    <w:rsid w:val="00A50A2B"/>
    <w:rsid w:val="00A51E3F"/>
    <w:rsid w:val="00A51F93"/>
    <w:rsid w:val="00A52594"/>
    <w:rsid w:val="00A53BFF"/>
    <w:rsid w:val="00A53EF4"/>
    <w:rsid w:val="00A54121"/>
    <w:rsid w:val="00A5439F"/>
    <w:rsid w:val="00A54AA5"/>
    <w:rsid w:val="00A55364"/>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90A"/>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8B7"/>
    <w:rsid w:val="00A73B77"/>
    <w:rsid w:val="00A73C25"/>
    <w:rsid w:val="00A74056"/>
    <w:rsid w:val="00A74313"/>
    <w:rsid w:val="00A74928"/>
    <w:rsid w:val="00A7498E"/>
    <w:rsid w:val="00A74A18"/>
    <w:rsid w:val="00A74F49"/>
    <w:rsid w:val="00A75555"/>
    <w:rsid w:val="00A75F15"/>
    <w:rsid w:val="00A76DC6"/>
    <w:rsid w:val="00A76FB0"/>
    <w:rsid w:val="00A777D6"/>
    <w:rsid w:val="00A77C2F"/>
    <w:rsid w:val="00A801CC"/>
    <w:rsid w:val="00A8039D"/>
    <w:rsid w:val="00A80B46"/>
    <w:rsid w:val="00A80EAC"/>
    <w:rsid w:val="00A81A6A"/>
    <w:rsid w:val="00A82597"/>
    <w:rsid w:val="00A82961"/>
    <w:rsid w:val="00A82AE4"/>
    <w:rsid w:val="00A82B8A"/>
    <w:rsid w:val="00A82C5C"/>
    <w:rsid w:val="00A830CC"/>
    <w:rsid w:val="00A831C5"/>
    <w:rsid w:val="00A831E0"/>
    <w:rsid w:val="00A83224"/>
    <w:rsid w:val="00A833D3"/>
    <w:rsid w:val="00A8341F"/>
    <w:rsid w:val="00A839DB"/>
    <w:rsid w:val="00A84002"/>
    <w:rsid w:val="00A8461F"/>
    <w:rsid w:val="00A848BA"/>
    <w:rsid w:val="00A84985"/>
    <w:rsid w:val="00A84BDA"/>
    <w:rsid w:val="00A84C48"/>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CD"/>
    <w:rsid w:val="00A86C23"/>
    <w:rsid w:val="00A86E5F"/>
    <w:rsid w:val="00A8733E"/>
    <w:rsid w:val="00A873FE"/>
    <w:rsid w:val="00A87575"/>
    <w:rsid w:val="00A87D5D"/>
    <w:rsid w:val="00A9046F"/>
    <w:rsid w:val="00A90558"/>
    <w:rsid w:val="00A908D3"/>
    <w:rsid w:val="00A91188"/>
    <w:rsid w:val="00A91616"/>
    <w:rsid w:val="00A918E6"/>
    <w:rsid w:val="00A91BD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BD8"/>
    <w:rsid w:val="00AB4C0E"/>
    <w:rsid w:val="00AB4E2D"/>
    <w:rsid w:val="00AB639D"/>
    <w:rsid w:val="00AB6685"/>
    <w:rsid w:val="00AB6722"/>
    <w:rsid w:val="00AB67D4"/>
    <w:rsid w:val="00AB682A"/>
    <w:rsid w:val="00AB6BB0"/>
    <w:rsid w:val="00AB6CF3"/>
    <w:rsid w:val="00AB74D7"/>
    <w:rsid w:val="00AB7974"/>
    <w:rsid w:val="00AB7BEA"/>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4B4"/>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959"/>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7B6B"/>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7"/>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3FC6"/>
    <w:rsid w:val="00B040AF"/>
    <w:rsid w:val="00B049D4"/>
    <w:rsid w:val="00B049E6"/>
    <w:rsid w:val="00B050AE"/>
    <w:rsid w:val="00B052ED"/>
    <w:rsid w:val="00B05680"/>
    <w:rsid w:val="00B05701"/>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221"/>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3A3"/>
    <w:rsid w:val="00B1766F"/>
    <w:rsid w:val="00B17A3A"/>
    <w:rsid w:val="00B17D20"/>
    <w:rsid w:val="00B2053D"/>
    <w:rsid w:val="00B20584"/>
    <w:rsid w:val="00B20928"/>
    <w:rsid w:val="00B20BF6"/>
    <w:rsid w:val="00B20C18"/>
    <w:rsid w:val="00B2138E"/>
    <w:rsid w:val="00B2149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A1F"/>
    <w:rsid w:val="00B31041"/>
    <w:rsid w:val="00B31088"/>
    <w:rsid w:val="00B310C4"/>
    <w:rsid w:val="00B3145B"/>
    <w:rsid w:val="00B31548"/>
    <w:rsid w:val="00B3181C"/>
    <w:rsid w:val="00B32297"/>
    <w:rsid w:val="00B325E1"/>
    <w:rsid w:val="00B3270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2E"/>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600BB"/>
    <w:rsid w:val="00B601DD"/>
    <w:rsid w:val="00B6035E"/>
    <w:rsid w:val="00B60408"/>
    <w:rsid w:val="00B60447"/>
    <w:rsid w:val="00B607BE"/>
    <w:rsid w:val="00B60B0D"/>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7B0"/>
    <w:rsid w:val="00B8782C"/>
    <w:rsid w:val="00B87B59"/>
    <w:rsid w:val="00B87F85"/>
    <w:rsid w:val="00B90635"/>
    <w:rsid w:val="00B90801"/>
    <w:rsid w:val="00B90BFC"/>
    <w:rsid w:val="00B90CCD"/>
    <w:rsid w:val="00B90D03"/>
    <w:rsid w:val="00B910D9"/>
    <w:rsid w:val="00B9139D"/>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69"/>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0E"/>
    <w:rsid w:val="00BA7A20"/>
    <w:rsid w:val="00BA7B10"/>
    <w:rsid w:val="00BB00F8"/>
    <w:rsid w:val="00BB01E5"/>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4A"/>
    <w:rsid w:val="00BB7B55"/>
    <w:rsid w:val="00BC0759"/>
    <w:rsid w:val="00BC12C6"/>
    <w:rsid w:val="00BC1651"/>
    <w:rsid w:val="00BC177E"/>
    <w:rsid w:val="00BC1CC0"/>
    <w:rsid w:val="00BC20A7"/>
    <w:rsid w:val="00BC20CE"/>
    <w:rsid w:val="00BC260F"/>
    <w:rsid w:val="00BC2989"/>
    <w:rsid w:val="00BC2AB8"/>
    <w:rsid w:val="00BC2AF3"/>
    <w:rsid w:val="00BC2F41"/>
    <w:rsid w:val="00BC2FBB"/>
    <w:rsid w:val="00BC31C1"/>
    <w:rsid w:val="00BC330E"/>
    <w:rsid w:val="00BC3319"/>
    <w:rsid w:val="00BC4045"/>
    <w:rsid w:val="00BC41B1"/>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06C9"/>
    <w:rsid w:val="00BD113C"/>
    <w:rsid w:val="00BD166B"/>
    <w:rsid w:val="00BD19D4"/>
    <w:rsid w:val="00BD1E8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8E"/>
    <w:rsid w:val="00BE05B6"/>
    <w:rsid w:val="00BE06D2"/>
    <w:rsid w:val="00BE0965"/>
    <w:rsid w:val="00BE0A64"/>
    <w:rsid w:val="00BE0C9E"/>
    <w:rsid w:val="00BE0F2D"/>
    <w:rsid w:val="00BE15A9"/>
    <w:rsid w:val="00BE16C7"/>
    <w:rsid w:val="00BE19A9"/>
    <w:rsid w:val="00BE1B0C"/>
    <w:rsid w:val="00BE1C1B"/>
    <w:rsid w:val="00BE1F1A"/>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1C"/>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B2C"/>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629"/>
    <w:rsid w:val="00C20604"/>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11A"/>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59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CC8"/>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22DC"/>
    <w:rsid w:val="00C8240F"/>
    <w:rsid w:val="00C825E7"/>
    <w:rsid w:val="00C82B0C"/>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C"/>
    <w:rsid w:val="00CB07C9"/>
    <w:rsid w:val="00CB084A"/>
    <w:rsid w:val="00CB160E"/>
    <w:rsid w:val="00CB1A18"/>
    <w:rsid w:val="00CB1D30"/>
    <w:rsid w:val="00CB2A77"/>
    <w:rsid w:val="00CB2C43"/>
    <w:rsid w:val="00CB2CC2"/>
    <w:rsid w:val="00CB2CF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36F"/>
    <w:rsid w:val="00CC1717"/>
    <w:rsid w:val="00CC179E"/>
    <w:rsid w:val="00CC1D16"/>
    <w:rsid w:val="00CC1EB3"/>
    <w:rsid w:val="00CC26B2"/>
    <w:rsid w:val="00CC292F"/>
    <w:rsid w:val="00CC2D71"/>
    <w:rsid w:val="00CC31BE"/>
    <w:rsid w:val="00CC36EB"/>
    <w:rsid w:val="00CC3737"/>
    <w:rsid w:val="00CC3A66"/>
    <w:rsid w:val="00CC3ABA"/>
    <w:rsid w:val="00CC3C53"/>
    <w:rsid w:val="00CC3E2A"/>
    <w:rsid w:val="00CC4071"/>
    <w:rsid w:val="00CC4127"/>
    <w:rsid w:val="00CC4327"/>
    <w:rsid w:val="00CC4439"/>
    <w:rsid w:val="00CC48A8"/>
    <w:rsid w:val="00CC4B7F"/>
    <w:rsid w:val="00CC4F58"/>
    <w:rsid w:val="00CC50B8"/>
    <w:rsid w:val="00CC58CF"/>
    <w:rsid w:val="00CC5D83"/>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849"/>
    <w:rsid w:val="00CE0ED5"/>
    <w:rsid w:val="00CE10A7"/>
    <w:rsid w:val="00CE11E8"/>
    <w:rsid w:val="00CE11F6"/>
    <w:rsid w:val="00CE1475"/>
    <w:rsid w:val="00CE1BCD"/>
    <w:rsid w:val="00CE1D7D"/>
    <w:rsid w:val="00CE1E7C"/>
    <w:rsid w:val="00CE2216"/>
    <w:rsid w:val="00CE2762"/>
    <w:rsid w:val="00CE2A29"/>
    <w:rsid w:val="00CE2A45"/>
    <w:rsid w:val="00CE2E78"/>
    <w:rsid w:val="00CE2F51"/>
    <w:rsid w:val="00CE3492"/>
    <w:rsid w:val="00CE3605"/>
    <w:rsid w:val="00CE363E"/>
    <w:rsid w:val="00CE36BD"/>
    <w:rsid w:val="00CE36D5"/>
    <w:rsid w:val="00CE38DE"/>
    <w:rsid w:val="00CE3B17"/>
    <w:rsid w:val="00CE3D87"/>
    <w:rsid w:val="00CE48E5"/>
    <w:rsid w:val="00CE4986"/>
    <w:rsid w:val="00CE5303"/>
    <w:rsid w:val="00CE5595"/>
    <w:rsid w:val="00CE592A"/>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0E8"/>
    <w:rsid w:val="00D11222"/>
    <w:rsid w:val="00D119EE"/>
    <w:rsid w:val="00D11C3E"/>
    <w:rsid w:val="00D12378"/>
    <w:rsid w:val="00D1280B"/>
    <w:rsid w:val="00D12B4E"/>
    <w:rsid w:val="00D13380"/>
    <w:rsid w:val="00D135B2"/>
    <w:rsid w:val="00D13913"/>
    <w:rsid w:val="00D13C39"/>
    <w:rsid w:val="00D14082"/>
    <w:rsid w:val="00D1425E"/>
    <w:rsid w:val="00D145C1"/>
    <w:rsid w:val="00D1482D"/>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7D"/>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6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3120"/>
    <w:rsid w:val="00D4324E"/>
    <w:rsid w:val="00D43560"/>
    <w:rsid w:val="00D43AD3"/>
    <w:rsid w:val="00D43AF5"/>
    <w:rsid w:val="00D43EAE"/>
    <w:rsid w:val="00D44975"/>
    <w:rsid w:val="00D45318"/>
    <w:rsid w:val="00D45676"/>
    <w:rsid w:val="00D45693"/>
    <w:rsid w:val="00D45E37"/>
    <w:rsid w:val="00D4663F"/>
    <w:rsid w:val="00D46724"/>
    <w:rsid w:val="00D46A0F"/>
    <w:rsid w:val="00D46A39"/>
    <w:rsid w:val="00D46B41"/>
    <w:rsid w:val="00D46EFA"/>
    <w:rsid w:val="00D4701C"/>
    <w:rsid w:val="00D473D8"/>
    <w:rsid w:val="00D47468"/>
    <w:rsid w:val="00D47538"/>
    <w:rsid w:val="00D47720"/>
    <w:rsid w:val="00D50182"/>
    <w:rsid w:val="00D50264"/>
    <w:rsid w:val="00D50287"/>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821"/>
    <w:rsid w:val="00D55AD5"/>
    <w:rsid w:val="00D5603A"/>
    <w:rsid w:val="00D565BA"/>
    <w:rsid w:val="00D568B8"/>
    <w:rsid w:val="00D56AC0"/>
    <w:rsid w:val="00D56BD4"/>
    <w:rsid w:val="00D56DE2"/>
    <w:rsid w:val="00D56E10"/>
    <w:rsid w:val="00D56E8E"/>
    <w:rsid w:val="00D56E96"/>
    <w:rsid w:val="00D56F18"/>
    <w:rsid w:val="00D575A2"/>
    <w:rsid w:val="00D601E4"/>
    <w:rsid w:val="00D60A86"/>
    <w:rsid w:val="00D60D9A"/>
    <w:rsid w:val="00D60F9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4C6"/>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791"/>
    <w:rsid w:val="00D95907"/>
    <w:rsid w:val="00D95C58"/>
    <w:rsid w:val="00D960D7"/>
    <w:rsid w:val="00D96167"/>
    <w:rsid w:val="00D96349"/>
    <w:rsid w:val="00D96BE3"/>
    <w:rsid w:val="00D96C2E"/>
    <w:rsid w:val="00D96C94"/>
    <w:rsid w:val="00D96D0D"/>
    <w:rsid w:val="00D972F2"/>
    <w:rsid w:val="00D9743A"/>
    <w:rsid w:val="00D97718"/>
    <w:rsid w:val="00DA0322"/>
    <w:rsid w:val="00DA057E"/>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70"/>
    <w:rsid w:val="00DA33DF"/>
    <w:rsid w:val="00DA34EA"/>
    <w:rsid w:val="00DA3588"/>
    <w:rsid w:val="00DA3720"/>
    <w:rsid w:val="00DA3D21"/>
    <w:rsid w:val="00DA415D"/>
    <w:rsid w:val="00DA423F"/>
    <w:rsid w:val="00DA477A"/>
    <w:rsid w:val="00DA5675"/>
    <w:rsid w:val="00DA58CE"/>
    <w:rsid w:val="00DA5B49"/>
    <w:rsid w:val="00DA5E7C"/>
    <w:rsid w:val="00DA5F04"/>
    <w:rsid w:val="00DA60DC"/>
    <w:rsid w:val="00DA6553"/>
    <w:rsid w:val="00DA6CA7"/>
    <w:rsid w:val="00DA6E7A"/>
    <w:rsid w:val="00DA71BC"/>
    <w:rsid w:val="00DA7B2E"/>
    <w:rsid w:val="00DA7B9B"/>
    <w:rsid w:val="00DA7F94"/>
    <w:rsid w:val="00DB0103"/>
    <w:rsid w:val="00DB01D8"/>
    <w:rsid w:val="00DB06F6"/>
    <w:rsid w:val="00DB07CB"/>
    <w:rsid w:val="00DB0C6C"/>
    <w:rsid w:val="00DB0CAE"/>
    <w:rsid w:val="00DB0E40"/>
    <w:rsid w:val="00DB114C"/>
    <w:rsid w:val="00DB172E"/>
    <w:rsid w:val="00DB1A5E"/>
    <w:rsid w:val="00DB1E0F"/>
    <w:rsid w:val="00DB221C"/>
    <w:rsid w:val="00DB269F"/>
    <w:rsid w:val="00DB27F5"/>
    <w:rsid w:val="00DB2938"/>
    <w:rsid w:val="00DB357B"/>
    <w:rsid w:val="00DB3AB6"/>
    <w:rsid w:val="00DB3B09"/>
    <w:rsid w:val="00DB3D7D"/>
    <w:rsid w:val="00DB3FB2"/>
    <w:rsid w:val="00DB42A1"/>
    <w:rsid w:val="00DB42E5"/>
    <w:rsid w:val="00DB4E23"/>
    <w:rsid w:val="00DB5618"/>
    <w:rsid w:val="00DB571E"/>
    <w:rsid w:val="00DB5835"/>
    <w:rsid w:val="00DB5966"/>
    <w:rsid w:val="00DB59B1"/>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5F4"/>
    <w:rsid w:val="00DC69D1"/>
    <w:rsid w:val="00DC6AEF"/>
    <w:rsid w:val="00DC6D0B"/>
    <w:rsid w:val="00DC6F1C"/>
    <w:rsid w:val="00DC70A0"/>
    <w:rsid w:val="00DC724B"/>
    <w:rsid w:val="00DC76BD"/>
    <w:rsid w:val="00DC7C6B"/>
    <w:rsid w:val="00DC7DC2"/>
    <w:rsid w:val="00DD05B9"/>
    <w:rsid w:val="00DD0A93"/>
    <w:rsid w:val="00DD1089"/>
    <w:rsid w:val="00DD11CE"/>
    <w:rsid w:val="00DD13C4"/>
    <w:rsid w:val="00DD1469"/>
    <w:rsid w:val="00DD1A6C"/>
    <w:rsid w:val="00DD1D89"/>
    <w:rsid w:val="00DD2754"/>
    <w:rsid w:val="00DD2878"/>
    <w:rsid w:val="00DD2A12"/>
    <w:rsid w:val="00DD2B52"/>
    <w:rsid w:val="00DD2F41"/>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3200"/>
    <w:rsid w:val="00DF33B9"/>
    <w:rsid w:val="00DF3DCF"/>
    <w:rsid w:val="00DF4300"/>
    <w:rsid w:val="00DF489F"/>
    <w:rsid w:val="00DF5554"/>
    <w:rsid w:val="00DF5B9F"/>
    <w:rsid w:val="00DF5E3B"/>
    <w:rsid w:val="00DF5F1D"/>
    <w:rsid w:val="00DF6B0F"/>
    <w:rsid w:val="00DF7242"/>
    <w:rsid w:val="00DF73B9"/>
    <w:rsid w:val="00DF74EA"/>
    <w:rsid w:val="00DF7655"/>
    <w:rsid w:val="00DF7C4F"/>
    <w:rsid w:val="00DF7C83"/>
    <w:rsid w:val="00DF7CA1"/>
    <w:rsid w:val="00DF7E55"/>
    <w:rsid w:val="00E00697"/>
    <w:rsid w:val="00E00A90"/>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6FF"/>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C7A"/>
    <w:rsid w:val="00E30555"/>
    <w:rsid w:val="00E3145F"/>
    <w:rsid w:val="00E31AAB"/>
    <w:rsid w:val="00E32074"/>
    <w:rsid w:val="00E32144"/>
    <w:rsid w:val="00E3265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40C2F"/>
    <w:rsid w:val="00E41D4B"/>
    <w:rsid w:val="00E42530"/>
    <w:rsid w:val="00E4272A"/>
    <w:rsid w:val="00E42953"/>
    <w:rsid w:val="00E43216"/>
    <w:rsid w:val="00E432CD"/>
    <w:rsid w:val="00E4332B"/>
    <w:rsid w:val="00E43882"/>
    <w:rsid w:val="00E439AD"/>
    <w:rsid w:val="00E442BE"/>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F3D"/>
    <w:rsid w:val="00E60123"/>
    <w:rsid w:val="00E601DD"/>
    <w:rsid w:val="00E606E4"/>
    <w:rsid w:val="00E60860"/>
    <w:rsid w:val="00E60AC4"/>
    <w:rsid w:val="00E60D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5FB"/>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B4E"/>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8B1"/>
    <w:rsid w:val="00EA693B"/>
    <w:rsid w:val="00EA6F7B"/>
    <w:rsid w:val="00EA795B"/>
    <w:rsid w:val="00EA7B05"/>
    <w:rsid w:val="00EA7CD0"/>
    <w:rsid w:val="00EA7F2B"/>
    <w:rsid w:val="00EA7FD5"/>
    <w:rsid w:val="00EB0229"/>
    <w:rsid w:val="00EB0459"/>
    <w:rsid w:val="00EB0C85"/>
    <w:rsid w:val="00EB0ED9"/>
    <w:rsid w:val="00EB12EF"/>
    <w:rsid w:val="00EB174F"/>
    <w:rsid w:val="00EB186A"/>
    <w:rsid w:val="00EB200F"/>
    <w:rsid w:val="00EB2877"/>
    <w:rsid w:val="00EB2955"/>
    <w:rsid w:val="00EB2AB0"/>
    <w:rsid w:val="00EB2C44"/>
    <w:rsid w:val="00EB320B"/>
    <w:rsid w:val="00EB3213"/>
    <w:rsid w:val="00EB32CE"/>
    <w:rsid w:val="00EB3546"/>
    <w:rsid w:val="00EB3BE7"/>
    <w:rsid w:val="00EB411E"/>
    <w:rsid w:val="00EB4267"/>
    <w:rsid w:val="00EB4630"/>
    <w:rsid w:val="00EB463A"/>
    <w:rsid w:val="00EB4680"/>
    <w:rsid w:val="00EB4959"/>
    <w:rsid w:val="00EB59E3"/>
    <w:rsid w:val="00EB5AC0"/>
    <w:rsid w:val="00EB5B24"/>
    <w:rsid w:val="00EB5E86"/>
    <w:rsid w:val="00EB5E9E"/>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2B9"/>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B18"/>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C10"/>
    <w:rsid w:val="00EE3E28"/>
    <w:rsid w:val="00EE3F04"/>
    <w:rsid w:val="00EE4283"/>
    <w:rsid w:val="00EE4799"/>
    <w:rsid w:val="00EE48D8"/>
    <w:rsid w:val="00EE490B"/>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6B"/>
    <w:rsid w:val="00EF398A"/>
    <w:rsid w:val="00EF3A12"/>
    <w:rsid w:val="00EF3D1A"/>
    <w:rsid w:val="00EF4216"/>
    <w:rsid w:val="00EF458F"/>
    <w:rsid w:val="00EF45D1"/>
    <w:rsid w:val="00EF4813"/>
    <w:rsid w:val="00EF48D6"/>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3BAD"/>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6ED8"/>
    <w:rsid w:val="00F17135"/>
    <w:rsid w:val="00F176F4"/>
    <w:rsid w:val="00F17BF1"/>
    <w:rsid w:val="00F17E01"/>
    <w:rsid w:val="00F201C8"/>
    <w:rsid w:val="00F201D4"/>
    <w:rsid w:val="00F205C6"/>
    <w:rsid w:val="00F20E12"/>
    <w:rsid w:val="00F211C5"/>
    <w:rsid w:val="00F21329"/>
    <w:rsid w:val="00F21395"/>
    <w:rsid w:val="00F222D6"/>
    <w:rsid w:val="00F225FC"/>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AF2"/>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3E45"/>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3F1"/>
    <w:rsid w:val="00F7640D"/>
    <w:rsid w:val="00F764DB"/>
    <w:rsid w:val="00F7692E"/>
    <w:rsid w:val="00F76BE4"/>
    <w:rsid w:val="00F7742C"/>
    <w:rsid w:val="00F77762"/>
    <w:rsid w:val="00F77B3C"/>
    <w:rsid w:val="00F77C92"/>
    <w:rsid w:val="00F800A1"/>
    <w:rsid w:val="00F8030A"/>
    <w:rsid w:val="00F80346"/>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3E"/>
    <w:rsid w:val="00F863DB"/>
    <w:rsid w:val="00F86595"/>
    <w:rsid w:val="00F86979"/>
    <w:rsid w:val="00F86BB1"/>
    <w:rsid w:val="00F8708F"/>
    <w:rsid w:val="00F87294"/>
    <w:rsid w:val="00F875BC"/>
    <w:rsid w:val="00F87742"/>
    <w:rsid w:val="00F877D1"/>
    <w:rsid w:val="00F87FCE"/>
    <w:rsid w:val="00F90582"/>
    <w:rsid w:val="00F906B1"/>
    <w:rsid w:val="00F90883"/>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2DBC"/>
    <w:rsid w:val="00FB3087"/>
    <w:rsid w:val="00FB3155"/>
    <w:rsid w:val="00FB334D"/>
    <w:rsid w:val="00FB3FD6"/>
    <w:rsid w:val="00FB4442"/>
    <w:rsid w:val="00FB45D6"/>
    <w:rsid w:val="00FB472C"/>
    <w:rsid w:val="00FB4A49"/>
    <w:rsid w:val="00FB4D66"/>
    <w:rsid w:val="00FB4E87"/>
    <w:rsid w:val="00FB4FF5"/>
    <w:rsid w:val="00FB51C5"/>
    <w:rsid w:val="00FB52F3"/>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31D"/>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552"/>
    <w:rsid w:val="00FD39B9"/>
    <w:rsid w:val="00FD3B0E"/>
    <w:rsid w:val="00FD3F25"/>
    <w:rsid w:val="00FD3F31"/>
    <w:rsid w:val="00FD444D"/>
    <w:rsid w:val="00FD44BF"/>
    <w:rsid w:val="00FD45F0"/>
    <w:rsid w:val="00FD4FBC"/>
    <w:rsid w:val="00FD516E"/>
    <w:rsid w:val="00FD5838"/>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70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2C7E9A"/>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205954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899437335">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11699543">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29939002">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30659247">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66104721">
      <w:bodyDiv w:val="1"/>
      <w:marLeft w:val="0"/>
      <w:marRight w:val="0"/>
      <w:marTop w:val="0"/>
      <w:marBottom w:val="0"/>
      <w:divBdr>
        <w:top w:val="none" w:sz="0" w:space="0" w:color="auto"/>
        <w:left w:val="none" w:sz="0" w:space="0" w:color="auto"/>
        <w:bottom w:val="none" w:sz="0" w:space="0" w:color="auto"/>
        <w:right w:val="none" w:sz="0" w:space="0" w:color="auto"/>
      </w:divBdr>
    </w:div>
    <w:div w:id="2071730615">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asxenergy.com.au/"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node/23453" TargetMode="External"/><Relationship Id="rId24" Type="http://schemas.openxmlformats.org/officeDocument/2006/relationships/hyperlink" Target="https://asxenergy.com.au/"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asxenergy.com.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www.aer.gov.au/node/2345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CD7D-18BD-45DD-84EE-025DDF97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3189</Words>
  <Characters>18181</Characters>
  <Application>Microsoft Office Word</Application>
  <DocSecurity>0</DocSecurity>
  <Lines>151</Lines>
  <Paragraphs>42</Paragraphs>
  <ScaleCrop>false</ScaleCrop>
  <Company/>
  <LinksUpToDate>false</LinksUpToDate>
  <CharactersWithSpaces>21328</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2014-02-19T02:37:00Z</dcterms:created>
  <dcterms:modified xsi:type="dcterms:W3CDTF">2014-02-19T02:38:00Z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8117383</vt:lpwstr>
  </property>
</Properties>
</file>