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8F0591"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7B4266" w:rsidRDefault="007B4266">
                  <w:pPr>
                    <w:pStyle w:val="Title"/>
                    <w:jc w:val="left"/>
                  </w:pPr>
                  <w:r w:rsidRPr="00F50D3A">
                    <w:t>Electricity</w:t>
                  </w:r>
                  <w:r>
                    <w:t xml:space="preserve"> Report</w:t>
                  </w:r>
                </w:p>
                <w:p w:rsidR="007B4266" w:rsidRPr="00FF06A1" w:rsidRDefault="007B4266">
                  <w:pPr>
                    <w:pStyle w:val="Title"/>
                    <w:jc w:val="left"/>
                  </w:pPr>
                  <w:r>
                    <w:t>17 to 23 November 2013</w:t>
                  </w:r>
                  <w:r w:rsidRPr="00F50D3A">
                    <w:t xml:space="preserve"> </w:t>
                  </w:r>
                </w:p>
                <w:p w:rsidR="007B4266" w:rsidRDefault="007B4266">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99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6" w:name="OLE_LINK28"/>
      <w:bookmarkStart w:id="7"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8" w:name="_Ref307219594"/>
      <w:r w:rsidRPr="007556DA">
        <w:t xml:space="preserve">Figure </w:t>
      </w:r>
      <w:bookmarkEnd w:id="8"/>
      <w:r w:rsidRPr="007556DA">
        <w:t xml:space="preserve">1: </w:t>
      </w:r>
      <w:r w:rsidR="00656C5F" w:rsidRPr="007556DA">
        <w:t>Volume weighted average spot price by region ($/MWh)</w:t>
      </w:r>
    </w:p>
    <w:p w:rsidR="00785F23" w:rsidRPr="00785F23" w:rsidRDefault="008F0591"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5pt;height:225.75pt">
            <v:imagedata r:id="rId9"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BB5541"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BB5541" w:rsidRPr="007556DA" w:rsidRDefault="00BB5541">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59</w:t>
            </w:r>
          </w:p>
        </w:tc>
        <w:tc>
          <w:tcPr>
            <w:tcW w:w="1275" w:type="dxa"/>
            <w:tcBorders>
              <w:top w:val="nil"/>
              <w:bottom w:val="nil"/>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51</w:t>
            </w:r>
          </w:p>
        </w:tc>
        <w:tc>
          <w:tcPr>
            <w:tcW w:w="1276" w:type="dxa"/>
            <w:tcBorders>
              <w:top w:val="nil"/>
              <w:bottom w:val="nil"/>
            </w:tcBorders>
            <w:shd w:val="clear" w:color="auto" w:fill="DDD9C3" w:themeFill="background2" w:themeFillShade="E6"/>
            <w:vAlign w:val="center"/>
          </w:tcPr>
          <w:p w:rsidR="00BB5541" w:rsidRDefault="00BB5541">
            <w:pPr>
              <w:jc w:val="center"/>
              <w:rPr>
                <w:rFonts w:cs="Gautami"/>
                <w:sz w:val="16"/>
                <w:szCs w:val="16"/>
              </w:rPr>
            </w:pPr>
            <w:r>
              <w:rPr>
                <w:rFonts w:cs="Gautami"/>
                <w:sz w:val="16"/>
                <w:szCs w:val="16"/>
              </w:rPr>
              <w:t>47</w:t>
            </w:r>
          </w:p>
        </w:tc>
        <w:tc>
          <w:tcPr>
            <w:tcW w:w="1134" w:type="dxa"/>
            <w:tcBorders>
              <w:top w:val="nil"/>
              <w:bottom w:val="nil"/>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50</w:t>
            </w:r>
          </w:p>
        </w:tc>
        <w:tc>
          <w:tcPr>
            <w:tcW w:w="1275" w:type="dxa"/>
            <w:tcBorders>
              <w:top w:val="nil"/>
              <w:bottom w:val="nil"/>
            </w:tcBorders>
            <w:shd w:val="clear" w:color="auto" w:fill="DDD9C3" w:themeFill="background2" w:themeFillShade="E6"/>
            <w:vAlign w:val="center"/>
          </w:tcPr>
          <w:p w:rsidR="00BB5541" w:rsidRDefault="00BB5541">
            <w:pPr>
              <w:jc w:val="center"/>
              <w:rPr>
                <w:rFonts w:cs="Gautami"/>
                <w:sz w:val="16"/>
                <w:szCs w:val="16"/>
              </w:rPr>
            </w:pPr>
            <w:r>
              <w:rPr>
                <w:rFonts w:cs="Gautami"/>
                <w:sz w:val="16"/>
                <w:szCs w:val="16"/>
              </w:rPr>
              <w:t>52</w:t>
            </w:r>
          </w:p>
        </w:tc>
      </w:tr>
      <w:tr w:rsidR="00BB5541" w:rsidRPr="007556DA" w:rsidTr="00CA5F6C">
        <w:trPr>
          <w:trHeight w:hRule="exact" w:val="454"/>
        </w:trPr>
        <w:tc>
          <w:tcPr>
            <w:tcW w:w="1809" w:type="dxa"/>
            <w:tcBorders>
              <w:top w:val="nil"/>
              <w:bottom w:val="nil"/>
            </w:tcBorders>
            <w:shd w:val="clear" w:color="auto" w:fill="EEECE1" w:themeFill="background2"/>
            <w:noWrap/>
            <w:vAlign w:val="center"/>
          </w:tcPr>
          <w:p w:rsidR="00BB5541" w:rsidRPr="007556DA" w:rsidRDefault="00BB5541">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BB5541" w:rsidRDefault="00BB5541">
            <w:pPr>
              <w:jc w:val="center"/>
              <w:rPr>
                <w:rFonts w:cs="Gautami"/>
                <w:sz w:val="16"/>
                <w:szCs w:val="16"/>
              </w:rPr>
            </w:pPr>
            <w:r>
              <w:rPr>
                <w:rFonts w:cs="Gautami"/>
                <w:sz w:val="16"/>
                <w:szCs w:val="16"/>
              </w:rPr>
              <w:t>56</w:t>
            </w:r>
          </w:p>
        </w:tc>
        <w:tc>
          <w:tcPr>
            <w:tcW w:w="1275" w:type="dxa"/>
            <w:tcBorders>
              <w:top w:val="nil"/>
              <w:bottom w:val="nil"/>
            </w:tcBorders>
            <w:shd w:val="clear" w:color="auto" w:fill="EEECE1" w:themeFill="background2"/>
            <w:noWrap/>
            <w:vAlign w:val="center"/>
          </w:tcPr>
          <w:p w:rsidR="00BB5541" w:rsidRDefault="00BB5541">
            <w:pPr>
              <w:jc w:val="center"/>
              <w:rPr>
                <w:rFonts w:cs="Gautami"/>
                <w:sz w:val="16"/>
                <w:szCs w:val="16"/>
              </w:rPr>
            </w:pPr>
            <w:r>
              <w:rPr>
                <w:rFonts w:cs="Gautami"/>
                <w:sz w:val="16"/>
                <w:szCs w:val="16"/>
              </w:rPr>
              <w:t>59</w:t>
            </w:r>
          </w:p>
        </w:tc>
        <w:tc>
          <w:tcPr>
            <w:tcW w:w="1276" w:type="dxa"/>
            <w:tcBorders>
              <w:top w:val="nil"/>
              <w:bottom w:val="nil"/>
            </w:tcBorders>
            <w:shd w:val="clear" w:color="auto" w:fill="EEECE1" w:themeFill="background2"/>
            <w:vAlign w:val="center"/>
          </w:tcPr>
          <w:p w:rsidR="00BB5541" w:rsidRDefault="00BB5541">
            <w:pPr>
              <w:jc w:val="center"/>
              <w:rPr>
                <w:rFonts w:cs="Gautami"/>
                <w:sz w:val="16"/>
                <w:szCs w:val="16"/>
              </w:rPr>
            </w:pPr>
            <w:r>
              <w:rPr>
                <w:rFonts w:cs="Gautami"/>
                <w:sz w:val="16"/>
                <w:szCs w:val="16"/>
              </w:rPr>
              <w:t>59</w:t>
            </w:r>
          </w:p>
        </w:tc>
        <w:tc>
          <w:tcPr>
            <w:tcW w:w="1134" w:type="dxa"/>
            <w:tcBorders>
              <w:top w:val="nil"/>
              <w:bottom w:val="nil"/>
            </w:tcBorders>
            <w:shd w:val="clear" w:color="auto" w:fill="EEECE1" w:themeFill="background2"/>
            <w:noWrap/>
            <w:vAlign w:val="center"/>
          </w:tcPr>
          <w:p w:rsidR="00BB5541" w:rsidRDefault="00BB5541">
            <w:pPr>
              <w:jc w:val="center"/>
              <w:rPr>
                <w:rFonts w:cs="Gautami"/>
                <w:sz w:val="16"/>
                <w:szCs w:val="16"/>
              </w:rPr>
            </w:pPr>
            <w:r>
              <w:rPr>
                <w:rFonts w:cs="Gautami"/>
                <w:sz w:val="16"/>
                <w:szCs w:val="16"/>
              </w:rPr>
              <w:t>63</w:t>
            </w:r>
          </w:p>
        </w:tc>
        <w:tc>
          <w:tcPr>
            <w:tcW w:w="1275" w:type="dxa"/>
            <w:tcBorders>
              <w:top w:val="nil"/>
              <w:bottom w:val="nil"/>
            </w:tcBorders>
            <w:shd w:val="clear" w:color="auto" w:fill="EEECE1" w:themeFill="background2"/>
            <w:vAlign w:val="center"/>
          </w:tcPr>
          <w:p w:rsidR="00BB5541" w:rsidRDefault="00BB5541">
            <w:pPr>
              <w:jc w:val="center"/>
              <w:rPr>
                <w:rFonts w:cs="Gautami"/>
                <w:sz w:val="16"/>
                <w:szCs w:val="16"/>
              </w:rPr>
            </w:pPr>
            <w:r>
              <w:rPr>
                <w:rFonts w:cs="Gautami"/>
                <w:sz w:val="16"/>
                <w:szCs w:val="16"/>
              </w:rPr>
              <w:t>48</w:t>
            </w:r>
          </w:p>
        </w:tc>
      </w:tr>
      <w:tr w:rsidR="00BB5541"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BB5541" w:rsidRPr="007556DA" w:rsidRDefault="00BB5541">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60</w:t>
            </w:r>
          </w:p>
        </w:tc>
        <w:tc>
          <w:tcPr>
            <w:tcW w:w="1275" w:type="dxa"/>
            <w:tcBorders>
              <w:top w:val="nil"/>
              <w:bottom w:val="single" w:sz="4" w:space="0" w:color="auto"/>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54</w:t>
            </w:r>
          </w:p>
        </w:tc>
        <w:tc>
          <w:tcPr>
            <w:tcW w:w="1276" w:type="dxa"/>
            <w:tcBorders>
              <w:top w:val="nil"/>
              <w:bottom w:val="single" w:sz="4" w:space="0" w:color="auto"/>
            </w:tcBorders>
            <w:shd w:val="clear" w:color="auto" w:fill="DDD9C3" w:themeFill="background2" w:themeFillShade="E6"/>
            <w:vAlign w:val="center"/>
          </w:tcPr>
          <w:p w:rsidR="00BB5541" w:rsidRDefault="00BB5541">
            <w:pPr>
              <w:jc w:val="center"/>
              <w:rPr>
                <w:rFonts w:cs="Gautami"/>
                <w:sz w:val="16"/>
                <w:szCs w:val="16"/>
              </w:rPr>
            </w:pPr>
            <w:r>
              <w:rPr>
                <w:rFonts w:cs="Gautami"/>
                <w:sz w:val="16"/>
                <w:szCs w:val="16"/>
              </w:rPr>
              <w:t>53</w:t>
            </w:r>
          </w:p>
        </w:tc>
        <w:tc>
          <w:tcPr>
            <w:tcW w:w="1134" w:type="dxa"/>
            <w:tcBorders>
              <w:top w:val="nil"/>
              <w:bottom w:val="single" w:sz="4" w:space="0" w:color="auto"/>
            </w:tcBorders>
            <w:shd w:val="clear" w:color="auto" w:fill="DDD9C3" w:themeFill="background2" w:themeFillShade="E6"/>
            <w:noWrap/>
            <w:vAlign w:val="center"/>
          </w:tcPr>
          <w:p w:rsidR="00BB5541" w:rsidRDefault="00BB5541">
            <w:pPr>
              <w:jc w:val="center"/>
              <w:rPr>
                <w:rFonts w:cs="Gautami"/>
                <w:sz w:val="16"/>
                <w:szCs w:val="16"/>
              </w:rPr>
            </w:pPr>
            <w:r>
              <w:rPr>
                <w:rFonts w:cs="Gautami"/>
                <w:sz w:val="16"/>
                <w:szCs w:val="16"/>
              </w:rPr>
              <w:t>65</w:t>
            </w:r>
          </w:p>
        </w:tc>
        <w:tc>
          <w:tcPr>
            <w:tcW w:w="1275" w:type="dxa"/>
            <w:tcBorders>
              <w:top w:val="nil"/>
              <w:bottom w:val="single" w:sz="4" w:space="0" w:color="auto"/>
            </w:tcBorders>
            <w:shd w:val="clear" w:color="auto" w:fill="DDD9C3" w:themeFill="background2" w:themeFillShade="E6"/>
            <w:vAlign w:val="center"/>
          </w:tcPr>
          <w:p w:rsidR="00BB5541" w:rsidRDefault="00BB5541">
            <w:pPr>
              <w:jc w:val="center"/>
              <w:rPr>
                <w:rFonts w:cs="Gautami"/>
                <w:sz w:val="16"/>
                <w:szCs w:val="16"/>
              </w:rPr>
            </w:pPr>
            <w:r>
              <w:rPr>
                <w:rFonts w:cs="Gautami"/>
                <w:sz w:val="16"/>
                <w:szCs w:val="16"/>
              </w:rPr>
              <w:t>45</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0" w:history="1">
        <w:r w:rsidR="000F1E82">
          <w:rPr>
            <w:rStyle w:val="Hyperlink"/>
          </w:rPr>
          <w:t>AER website</w:t>
        </w:r>
      </w:hyperlink>
      <w:r>
        <w:t xml:space="preserve">. </w:t>
      </w:r>
    </w:p>
    <w:bookmarkEnd w:id="6"/>
    <w:bookmarkEnd w:id="7"/>
    <w:p w:rsidR="006E199B" w:rsidRDefault="007F5786" w:rsidP="00BD4E2C">
      <w:pPr>
        <w:pStyle w:val="Heading2"/>
      </w:pPr>
      <w:r>
        <w:lastRenderedPageBreak/>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BB5541">
        <w:t>35</w:t>
      </w:r>
      <w:r w:rsidR="007A5743">
        <w:t xml:space="preserve"> </w:t>
      </w:r>
      <w:r>
        <w:t>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865011" w:rsidRPr="00155A20" w:rsidTr="00CA5F6C">
        <w:trPr>
          <w:trHeight w:hRule="exact" w:val="454"/>
        </w:trPr>
        <w:tc>
          <w:tcPr>
            <w:tcW w:w="2127" w:type="dxa"/>
            <w:tcBorders>
              <w:bottom w:val="nil"/>
            </w:tcBorders>
            <w:shd w:val="clear" w:color="auto" w:fill="DDD9C3" w:themeFill="background2" w:themeFillShade="E6"/>
            <w:noWrap/>
            <w:vAlign w:val="center"/>
          </w:tcPr>
          <w:p w:rsidR="00865011" w:rsidRPr="00155A20" w:rsidRDefault="00865011">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865011" w:rsidRDefault="00865011">
            <w:pPr>
              <w:jc w:val="center"/>
              <w:rPr>
                <w:rFonts w:cs="Gautami"/>
                <w:sz w:val="16"/>
                <w:szCs w:val="16"/>
              </w:rPr>
            </w:pPr>
            <w:r>
              <w:rPr>
                <w:rFonts w:cs="Gautami"/>
                <w:sz w:val="16"/>
                <w:szCs w:val="16"/>
              </w:rPr>
              <w:t>2</w:t>
            </w:r>
          </w:p>
        </w:tc>
        <w:tc>
          <w:tcPr>
            <w:tcW w:w="1418" w:type="dxa"/>
            <w:tcBorders>
              <w:bottom w:val="nil"/>
            </w:tcBorders>
            <w:shd w:val="clear" w:color="auto" w:fill="DDD9C3" w:themeFill="background2" w:themeFillShade="E6"/>
            <w:noWrap/>
            <w:vAlign w:val="center"/>
          </w:tcPr>
          <w:p w:rsidR="00865011" w:rsidRDefault="00865011">
            <w:pPr>
              <w:jc w:val="center"/>
              <w:rPr>
                <w:rFonts w:cs="Gautami"/>
                <w:sz w:val="16"/>
                <w:szCs w:val="16"/>
              </w:rPr>
            </w:pPr>
            <w:r>
              <w:rPr>
                <w:rFonts w:cs="Gautami"/>
                <w:sz w:val="16"/>
                <w:szCs w:val="16"/>
              </w:rPr>
              <w:t>55</w:t>
            </w:r>
          </w:p>
        </w:tc>
        <w:tc>
          <w:tcPr>
            <w:tcW w:w="1843" w:type="dxa"/>
            <w:tcBorders>
              <w:bottom w:val="nil"/>
            </w:tcBorders>
            <w:shd w:val="clear" w:color="auto" w:fill="DDD9C3" w:themeFill="background2" w:themeFillShade="E6"/>
            <w:noWrap/>
            <w:vAlign w:val="center"/>
          </w:tcPr>
          <w:p w:rsidR="00865011" w:rsidRDefault="00865011">
            <w:pPr>
              <w:jc w:val="center"/>
              <w:rPr>
                <w:rFonts w:cs="Gautami"/>
                <w:sz w:val="16"/>
                <w:szCs w:val="16"/>
              </w:rPr>
            </w:pPr>
            <w:r>
              <w:rPr>
                <w:rFonts w:cs="Gautami"/>
                <w:sz w:val="16"/>
                <w:szCs w:val="16"/>
              </w:rPr>
              <w:t>7</w:t>
            </w:r>
          </w:p>
        </w:tc>
        <w:tc>
          <w:tcPr>
            <w:tcW w:w="1417" w:type="dxa"/>
            <w:tcBorders>
              <w:bottom w:val="nil"/>
            </w:tcBorders>
            <w:shd w:val="clear" w:color="auto" w:fill="DDD9C3" w:themeFill="background2" w:themeFillShade="E6"/>
            <w:vAlign w:val="center"/>
          </w:tcPr>
          <w:p w:rsidR="00865011" w:rsidRDefault="00865011">
            <w:pPr>
              <w:jc w:val="center"/>
              <w:rPr>
                <w:rFonts w:cs="Gautami"/>
                <w:sz w:val="16"/>
                <w:szCs w:val="16"/>
              </w:rPr>
            </w:pPr>
            <w:r>
              <w:rPr>
                <w:rFonts w:cs="Gautami"/>
                <w:sz w:val="16"/>
                <w:szCs w:val="16"/>
              </w:rPr>
              <w:t>2</w:t>
            </w:r>
          </w:p>
        </w:tc>
      </w:tr>
      <w:tr w:rsidR="00865011"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865011" w:rsidRPr="00155A20" w:rsidRDefault="00865011">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865011" w:rsidRDefault="00865011">
            <w:pPr>
              <w:jc w:val="center"/>
              <w:rPr>
                <w:rFonts w:cs="Gautami"/>
                <w:sz w:val="16"/>
                <w:szCs w:val="16"/>
              </w:rPr>
            </w:pPr>
            <w:r>
              <w:rPr>
                <w:rFonts w:cs="Gautami"/>
                <w:sz w:val="16"/>
                <w:szCs w:val="16"/>
              </w:rPr>
              <w:t>34</w:t>
            </w:r>
          </w:p>
        </w:tc>
        <w:tc>
          <w:tcPr>
            <w:tcW w:w="1418" w:type="dxa"/>
            <w:tcBorders>
              <w:top w:val="nil"/>
              <w:bottom w:val="single" w:sz="4" w:space="0" w:color="auto"/>
            </w:tcBorders>
            <w:shd w:val="clear" w:color="auto" w:fill="EEECE1" w:themeFill="background2"/>
            <w:noWrap/>
            <w:vAlign w:val="center"/>
          </w:tcPr>
          <w:p w:rsidR="00865011" w:rsidRDefault="00865011">
            <w:pPr>
              <w:jc w:val="center"/>
              <w:rPr>
                <w:rFonts w:cs="Gautami"/>
                <w:sz w:val="16"/>
                <w:szCs w:val="16"/>
              </w:rPr>
            </w:pPr>
            <w:r>
              <w:rPr>
                <w:rFonts w:cs="Gautami"/>
                <w:sz w:val="16"/>
                <w:szCs w:val="16"/>
              </w:rPr>
              <w:t>0</w:t>
            </w:r>
          </w:p>
        </w:tc>
        <w:tc>
          <w:tcPr>
            <w:tcW w:w="1843" w:type="dxa"/>
            <w:tcBorders>
              <w:top w:val="nil"/>
              <w:bottom w:val="single" w:sz="4" w:space="0" w:color="auto"/>
            </w:tcBorders>
            <w:shd w:val="clear" w:color="auto" w:fill="EEECE1" w:themeFill="background2"/>
            <w:noWrap/>
            <w:vAlign w:val="center"/>
          </w:tcPr>
          <w:p w:rsidR="00865011" w:rsidRDefault="00865011">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865011" w:rsidRDefault="00865011">
            <w:pPr>
              <w:jc w:val="center"/>
              <w:rPr>
                <w:rFonts w:cs="Gautami"/>
                <w:sz w:val="16"/>
                <w:szCs w:val="16"/>
              </w:rPr>
            </w:pPr>
            <w:r>
              <w:rPr>
                <w:rFonts w:cs="Gautami"/>
                <w:sz w:val="16"/>
                <w:szCs w:val="16"/>
              </w:rPr>
              <w:t>0</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5F7260"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75pt;height:307.5pt">
            <v:imagedata r:id="rId11"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5F7260" w:rsidP="002652CD">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75pt;height:307.5pt;mso-position-vertical:absolute">
            <v:imagedata r:id="rId12" o:title=""/>
          </v:shape>
        </w:pict>
      </w: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5F7260"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75pt;height:307.5pt">
            <v:imagedata r:id="rId13"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5F7260" w:rsidP="002652CD">
      <w:pPr>
        <w:pStyle w:val="AERbodytext"/>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75pt;height:308.25pt">
            <v:imagedata r:id="rId14" o:title=""/>
          </v:shape>
        </w:pict>
      </w:r>
    </w:p>
    <w:p w:rsidR="0048688D"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5F7260"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75pt;height:307.5pt">
            <v:imagedata r:id="rId15"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B80C35" w:rsidRDefault="00F618E2" w:rsidP="00021E37">
      <w:pPr>
        <w:pStyle w:val="AERbodytext"/>
      </w:pPr>
      <w:r w:rsidRPr="00F618E2">
        <w:t>The total cost of FCAS on the mainland for the week was $</w:t>
      </w:r>
      <w:r w:rsidR="00B80C35">
        <w:t>191</w:t>
      </w:r>
      <w:r w:rsidR="005F775F">
        <w:t> </w:t>
      </w:r>
      <w:r w:rsidR="00B80C35">
        <w:t>5</w:t>
      </w:r>
      <w:r w:rsidR="003E5E52">
        <w:t>00</w:t>
      </w:r>
      <w:r w:rsidR="005F775F">
        <w:t xml:space="preserve"> or less than 1</w:t>
      </w:r>
      <w:r w:rsidR="005A3160">
        <w:t> </w:t>
      </w:r>
      <w:r w:rsidRPr="00F618E2">
        <w:t>per</w:t>
      </w:r>
      <w:r w:rsidR="005A3160">
        <w:t> </w:t>
      </w:r>
      <w:r w:rsidRPr="00F618E2">
        <w:t>cent of energy turnover on the</w:t>
      </w:r>
      <w:r>
        <w:t xml:space="preserve"> mainland</w:t>
      </w:r>
      <w:r w:rsidR="00221B68" w:rsidRPr="00021E37">
        <w:t xml:space="preserve">. </w:t>
      </w:r>
    </w:p>
    <w:p w:rsidR="008F05E6" w:rsidRDefault="005F775F" w:rsidP="00021E37">
      <w:pPr>
        <w:pStyle w:val="AERbodytext"/>
      </w:pPr>
      <w:r>
        <w:t>T</w:t>
      </w:r>
      <w:r w:rsidR="00753DF7" w:rsidRPr="00021E37">
        <w:t>he total cost</w:t>
      </w:r>
      <w:r>
        <w:t xml:space="preserve"> of FCAS in Tasmania</w:t>
      </w:r>
      <w:r w:rsidR="00753DF7" w:rsidRPr="00021E37">
        <w:t xml:space="preserve"> </w:t>
      </w:r>
      <w:r w:rsidR="00221B68" w:rsidRPr="00021E37">
        <w:t>for the week was $</w:t>
      </w:r>
      <w:r w:rsidR="00B80C35">
        <w:t>226</w:t>
      </w:r>
      <w:r>
        <w:t> </w:t>
      </w:r>
      <w:r w:rsidR="00B80C35">
        <w:t>5</w:t>
      </w:r>
      <w:r w:rsidR="009864C0">
        <w:t>00</w:t>
      </w:r>
      <w:r w:rsidR="009864C0" w:rsidRPr="00021E37">
        <w:t xml:space="preserve"> </w:t>
      </w:r>
      <w:r w:rsidR="00221B68" w:rsidRPr="00021E37">
        <w:t xml:space="preserve">or </w:t>
      </w:r>
      <w:r w:rsidR="00B80C35">
        <w:t>around</w:t>
      </w:r>
      <w:r w:rsidR="00537009">
        <w:t xml:space="preserve"> </w:t>
      </w:r>
      <w:r w:rsidR="00B80C35">
        <w:t>2.5</w:t>
      </w:r>
      <w:r w:rsidR="005A3160">
        <w:t> </w:t>
      </w:r>
      <w:r w:rsidR="00221B68" w:rsidRPr="00021E37">
        <w:t>per cent of energy turnover in Tasmania</w:t>
      </w:r>
      <w:r w:rsidR="008F05E6" w:rsidRPr="00021E37">
        <w:t xml:space="preserve">. </w:t>
      </w:r>
      <w:r w:rsidR="005A3160">
        <w:t xml:space="preserve">The </w:t>
      </w:r>
      <w:r w:rsidR="00B80C35">
        <w:t>majority of this cost occurred on 22</w:t>
      </w:r>
      <w:r w:rsidR="005A3160">
        <w:t> </w:t>
      </w:r>
      <w:r w:rsidR="00B80C35">
        <w:t>November for lower</w:t>
      </w:r>
      <w:r w:rsidR="005A3160">
        <w:t> </w:t>
      </w:r>
      <w:r w:rsidR="00B80C35">
        <w:t>6</w:t>
      </w:r>
      <w:r w:rsidR="005A3160">
        <w:t> </w:t>
      </w:r>
      <w:r w:rsidR="00B80C35">
        <w:t>second</w:t>
      </w:r>
      <w:r w:rsidR="005A3160">
        <w:t> </w:t>
      </w:r>
      <w:r w:rsidR="00B80C35">
        <w:t>service</w:t>
      </w:r>
      <w:r w:rsidR="005A3160">
        <w:t>s</w:t>
      </w:r>
      <w:r w:rsidR="00B80C35">
        <w:t xml:space="preserve">. At 4.50 pm </w:t>
      </w:r>
      <w:proofErr w:type="spellStart"/>
      <w:r w:rsidR="00B80C35">
        <w:t>Basslink</w:t>
      </w:r>
      <w:proofErr w:type="spellEnd"/>
      <w:r w:rsidR="00B80C35">
        <w:t xml:space="preserve"> entered the no-go zone</w:t>
      </w:r>
      <w:r w:rsidR="005A3160">
        <w:t xml:space="preserve">. This means that Tasmania had to source its FCAS locally </w:t>
      </w:r>
      <w:r w:rsidR="00B80C35">
        <w:t xml:space="preserve">as </w:t>
      </w:r>
      <w:r w:rsidR="005A3160">
        <w:t>it could not</w:t>
      </w:r>
      <w:r w:rsidR="00B80C35">
        <w:t xml:space="preserve"> be sourced across </w:t>
      </w:r>
      <w:proofErr w:type="spellStart"/>
      <w:r w:rsidR="00B80C35">
        <w:t>Basslink</w:t>
      </w:r>
      <w:proofErr w:type="spellEnd"/>
      <w:r w:rsidR="00B80C35">
        <w:t>. This saw the local requirement for lower 6 second services increase from zero at 4.45 pm to 166 MW at 4.50 pm</w:t>
      </w:r>
      <w:r w:rsidR="00E76C4D">
        <w:t>. With only around 15 MW of lower 6 second services available at prices less than the price cap</w:t>
      </w:r>
      <w:r w:rsidR="00A6752D">
        <w:t xml:space="preserve">, high-price capacity was dispatched which saw </w:t>
      </w:r>
      <w:r w:rsidR="00E76C4D">
        <w:t>the price reach the cap at 4.50 pm</w:t>
      </w:r>
      <w:r w:rsidR="00DD033E">
        <w:t>.</w:t>
      </w:r>
      <w:r w:rsidR="00A6752D" w:rsidRPr="00A6752D">
        <w:t xml:space="preserve"> </w:t>
      </w:r>
      <w:r w:rsidR="00A6752D">
        <w:t>The total cost of the local lower 6 second services for the 5 minute period from 4.50 pm reached $180 835.</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652CD" w:rsidRPr="002652CD" w:rsidRDefault="005F7260" w:rsidP="002652CD">
      <w:pPr>
        <w:pStyle w:val="AERbodytext"/>
      </w:pPr>
      <w:r>
        <w:pict>
          <v:shape id="_x0000_i1032" type="#_x0000_t75" style="width:450.75pt;height:225pt">
            <v:imagedata r:id="rId16" o:title=""/>
          </v:shape>
        </w:pict>
      </w:r>
    </w:p>
    <w:bookmarkEnd w:id="0"/>
    <w:bookmarkEnd w:id="1"/>
    <w:bookmarkEnd w:id="2"/>
    <w:bookmarkEnd w:id="3"/>
    <w:bookmarkEnd w:id="4"/>
    <w:bookmarkEnd w:id="5"/>
    <w:p w:rsidR="00E053E2" w:rsidRDefault="00E053E2" w:rsidP="003A4158">
      <w:pPr>
        <w:pStyle w:val="Heading2"/>
      </w:pPr>
    </w:p>
    <w:p w:rsidR="003A4158" w:rsidRDefault="003A4158" w:rsidP="003A4158">
      <w:pPr>
        <w:pStyle w:val="Heading2"/>
      </w:pPr>
      <w:r>
        <w:t>Detailed market analysis of significant price events</w:t>
      </w:r>
    </w:p>
    <w:p w:rsidR="003A4158" w:rsidRDefault="003A4158" w:rsidP="003A4158">
      <w:pPr>
        <w:pStyle w:val="AERbodytext"/>
      </w:pPr>
      <w:r>
        <w:t xml:space="preserve">We provide more detailed analysis of events where the spot price was greater than three times the </w:t>
      </w:r>
      <w:r w:rsidRPr="00617793">
        <w:t xml:space="preserve">weekly average price in a region and above $250/MWh or was below </w:t>
      </w:r>
      <w:r w:rsidRPr="00617793">
        <w:noBreakHyphen/>
        <w:t xml:space="preserve">$100/MWh. </w:t>
      </w:r>
    </w:p>
    <w:p w:rsidR="00777CD4" w:rsidRPr="00777CD4" w:rsidRDefault="00777CD4" w:rsidP="00777CD4">
      <w:pPr>
        <w:rPr>
          <w:lang w:eastAsia="en-US"/>
        </w:rPr>
      </w:pPr>
      <w:r w:rsidRPr="00777CD4">
        <w:rPr>
          <w:lang w:eastAsia="en-US"/>
        </w:rPr>
        <w:t xml:space="preserve">There </w:t>
      </w:r>
      <w:r w:rsidR="0022767B">
        <w:rPr>
          <w:lang w:eastAsia="en-US"/>
        </w:rPr>
        <w:t>was one</w:t>
      </w:r>
      <w:r w:rsidR="00C80981">
        <w:rPr>
          <w:lang w:eastAsia="en-US"/>
        </w:rPr>
        <w:t xml:space="preserve"> </w:t>
      </w:r>
      <w:r w:rsidRPr="00777CD4">
        <w:rPr>
          <w:lang w:eastAsia="en-US"/>
        </w:rPr>
        <w:t xml:space="preserve">occasion where the spot price in </w:t>
      </w:r>
      <w:r w:rsidR="00C80981">
        <w:rPr>
          <w:lang w:eastAsia="en-US"/>
        </w:rPr>
        <w:t xml:space="preserve">Queensland </w:t>
      </w:r>
      <w:r w:rsidRPr="00777CD4">
        <w:rPr>
          <w:lang w:eastAsia="en-US"/>
        </w:rPr>
        <w:t xml:space="preserve">was greater than three times the </w:t>
      </w:r>
      <w:r w:rsidR="00C80981">
        <w:rPr>
          <w:lang w:eastAsia="en-US"/>
        </w:rPr>
        <w:t>Queensland weekly average price of $5</w:t>
      </w:r>
      <w:r w:rsidR="0022767B">
        <w:rPr>
          <w:lang w:eastAsia="en-US"/>
        </w:rPr>
        <w:t>9</w:t>
      </w:r>
      <w:r w:rsidRPr="00777CD4">
        <w:rPr>
          <w:lang w:eastAsia="en-US"/>
        </w:rPr>
        <w:t>/MWh and above $250/MWh.</w:t>
      </w:r>
      <w:r w:rsidR="00B93E5C">
        <w:rPr>
          <w:lang w:eastAsia="en-US"/>
        </w:rPr>
        <w:t xml:space="preserve"> </w:t>
      </w:r>
    </w:p>
    <w:p w:rsidR="00C80981" w:rsidRPr="00470218" w:rsidRDefault="00C80981" w:rsidP="00C80981">
      <w:pPr>
        <w:pStyle w:val="AERtabletitle"/>
      </w:pPr>
      <w:r>
        <w:t xml:space="preserve">Table </w:t>
      </w:r>
      <w:r w:rsidR="0022767B">
        <w:t>3</w:t>
      </w:r>
      <w:r w:rsidRPr="00470218">
        <w:t xml:space="preserve">: </w:t>
      </w:r>
      <w:r>
        <w:t>Queensland</w:t>
      </w:r>
      <w:r w:rsidRPr="00470218">
        <w:t>,</w:t>
      </w:r>
      <w:r>
        <w:t xml:space="preserve"> T</w:t>
      </w:r>
      <w:r w:rsidR="00430669">
        <w:t>hur</w:t>
      </w:r>
      <w:r>
        <w:t>sday</w:t>
      </w:r>
      <w:r w:rsidRPr="00470218">
        <w:t> </w:t>
      </w:r>
      <w:r w:rsidR="0022767B">
        <w:t>21</w:t>
      </w:r>
      <w:r>
        <w:t> </w:t>
      </w:r>
      <w:r w:rsidR="0022767B">
        <w:t>November</w:t>
      </w:r>
      <w:r>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2C7E9A" w:rsidRPr="00095C39" w:rsidTr="002C7E9A">
        <w:tc>
          <w:tcPr>
            <w:tcW w:w="2802" w:type="dxa"/>
            <w:shd w:val="clear" w:color="auto" w:fill="4A442A"/>
            <w:noWrap/>
            <w:vAlign w:val="bottom"/>
          </w:tcPr>
          <w:p w:rsidR="002C7E9A" w:rsidRPr="00186747" w:rsidRDefault="0022767B" w:rsidP="00C80981">
            <w:pPr>
              <w:autoSpaceDE w:val="0"/>
              <w:autoSpaceDN w:val="0"/>
              <w:adjustRightInd w:val="0"/>
              <w:spacing w:before="100" w:after="100"/>
              <w:rPr>
                <w:color w:val="FFFFFF"/>
                <w:sz w:val="18"/>
                <w:szCs w:val="18"/>
              </w:rPr>
            </w:pPr>
            <w:r>
              <w:rPr>
                <w:b/>
                <w:bCs/>
                <w:color w:val="FFFFFF"/>
                <w:sz w:val="18"/>
                <w:szCs w:val="18"/>
              </w:rPr>
              <w:t>4</w:t>
            </w:r>
            <w:r w:rsidR="002C7E9A" w:rsidRPr="00186747">
              <w:rPr>
                <w:b/>
                <w:bCs/>
                <w:color w:val="FFFFFF"/>
                <w:sz w:val="18"/>
                <w:szCs w:val="18"/>
              </w:rPr>
              <w:t xml:space="preserve"> </w:t>
            </w:r>
            <w:r w:rsidR="002C7E9A">
              <w:rPr>
                <w:b/>
                <w:bCs/>
                <w:color w:val="FFFFFF"/>
                <w:sz w:val="18"/>
                <w:szCs w:val="18"/>
              </w:rPr>
              <w:t>P</w:t>
            </w:r>
            <w:r w:rsidR="002C7E9A" w:rsidRPr="00186747">
              <w:rPr>
                <w:b/>
                <w:bCs/>
                <w:color w:val="FFFFFF"/>
                <w:sz w:val="18"/>
                <w:szCs w:val="18"/>
              </w:rPr>
              <w:t>M</w:t>
            </w:r>
          </w:p>
        </w:tc>
        <w:tc>
          <w:tcPr>
            <w:tcW w:w="2090" w:type="dxa"/>
            <w:shd w:val="clear" w:color="auto" w:fill="4A442A"/>
            <w:noWrap/>
            <w:vAlign w:val="bottom"/>
          </w:tcPr>
          <w:p w:rsidR="002C7E9A" w:rsidRPr="00186747" w:rsidRDefault="002C7E9A" w:rsidP="002C7E9A">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2C7E9A" w:rsidRPr="00186747" w:rsidRDefault="002C7E9A" w:rsidP="002C7E9A">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2C7E9A" w:rsidRPr="00186747" w:rsidRDefault="002C7E9A" w:rsidP="002C7E9A">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22767B" w:rsidRPr="00095C39" w:rsidTr="002C7E9A">
        <w:tc>
          <w:tcPr>
            <w:tcW w:w="2802" w:type="dxa"/>
            <w:shd w:val="clear" w:color="auto" w:fill="DDD9C3"/>
            <w:noWrap/>
            <w:vAlign w:val="bottom"/>
          </w:tcPr>
          <w:p w:rsidR="0022767B" w:rsidRPr="00C80981" w:rsidRDefault="0022767B" w:rsidP="00C80981">
            <w:pPr>
              <w:pStyle w:val="AERtabletext-numbers"/>
              <w:jc w:val="left"/>
              <w:rPr>
                <w:b/>
              </w:rPr>
            </w:pPr>
            <w:r>
              <w:rPr>
                <w:rFonts w:ascii="Arial" w:hAnsi="Arial" w:cs="Arial"/>
              </w:rPr>
              <w:t>Price ($/MWh)</w:t>
            </w:r>
          </w:p>
        </w:tc>
        <w:tc>
          <w:tcPr>
            <w:tcW w:w="2090" w:type="dxa"/>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2234.81</w:t>
            </w:r>
          </w:p>
        </w:tc>
        <w:tc>
          <w:tcPr>
            <w:tcW w:w="2090" w:type="dxa"/>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54.81</w:t>
            </w:r>
          </w:p>
        </w:tc>
        <w:tc>
          <w:tcPr>
            <w:tcW w:w="2090" w:type="dxa"/>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57.33</w:t>
            </w:r>
          </w:p>
        </w:tc>
      </w:tr>
      <w:tr w:rsidR="0022767B" w:rsidRPr="00095C39" w:rsidTr="002C7E9A">
        <w:tc>
          <w:tcPr>
            <w:tcW w:w="2802" w:type="dxa"/>
            <w:tcBorders>
              <w:bottom w:val="nil"/>
            </w:tcBorders>
            <w:shd w:val="clear" w:color="auto" w:fill="EEECE1"/>
            <w:noWrap/>
            <w:vAlign w:val="bottom"/>
          </w:tcPr>
          <w:p w:rsidR="0022767B" w:rsidRPr="00C80981" w:rsidRDefault="0022767B" w:rsidP="00C80981">
            <w:pPr>
              <w:pStyle w:val="AERtabletext-numbers"/>
              <w:jc w:val="left"/>
              <w:rPr>
                <w:b/>
              </w:rPr>
            </w:pPr>
            <w:r>
              <w:rPr>
                <w:rFonts w:ascii="Arial" w:hAnsi="Arial" w:cs="Arial"/>
              </w:rPr>
              <w:t>Demand (MW)</w:t>
            </w:r>
          </w:p>
        </w:tc>
        <w:tc>
          <w:tcPr>
            <w:tcW w:w="2090" w:type="dxa"/>
            <w:tcBorders>
              <w:bottom w:val="nil"/>
            </w:tcBorders>
            <w:shd w:val="clear" w:color="auto" w:fill="EEECE1"/>
            <w:noWrap/>
            <w:vAlign w:val="bottom"/>
          </w:tcPr>
          <w:p w:rsidR="0022767B" w:rsidRDefault="0022767B" w:rsidP="00C80981">
            <w:pPr>
              <w:pStyle w:val="AERtabletext-numbers"/>
              <w:jc w:val="center"/>
              <w:rPr>
                <w:rFonts w:ascii="Arial" w:hAnsi="Arial" w:cs="Arial"/>
              </w:rPr>
            </w:pPr>
            <w:r>
              <w:rPr>
                <w:rFonts w:ascii="Arial" w:hAnsi="Arial" w:cs="Arial"/>
              </w:rPr>
              <w:t>6852</w:t>
            </w:r>
          </w:p>
        </w:tc>
        <w:tc>
          <w:tcPr>
            <w:tcW w:w="2090" w:type="dxa"/>
            <w:tcBorders>
              <w:bottom w:val="nil"/>
            </w:tcBorders>
            <w:shd w:val="clear" w:color="auto" w:fill="EEECE1"/>
            <w:noWrap/>
            <w:vAlign w:val="bottom"/>
          </w:tcPr>
          <w:p w:rsidR="0022767B" w:rsidRDefault="0022767B" w:rsidP="00C80981">
            <w:pPr>
              <w:pStyle w:val="AERtabletext-numbers"/>
              <w:jc w:val="center"/>
              <w:rPr>
                <w:rFonts w:ascii="Arial" w:hAnsi="Arial" w:cs="Arial"/>
              </w:rPr>
            </w:pPr>
            <w:r>
              <w:rPr>
                <w:rFonts w:ascii="Arial" w:hAnsi="Arial" w:cs="Arial"/>
              </w:rPr>
              <w:t>6764</w:t>
            </w:r>
          </w:p>
        </w:tc>
        <w:tc>
          <w:tcPr>
            <w:tcW w:w="2090" w:type="dxa"/>
            <w:tcBorders>
              <w:bottom w:val="nil"/>
            </w:tcBorders>
            <w:shd w:val="clear" w:color="auto" w:fill="EEECE1"/>
            <w:noWrap/>
            <w:vAlign w:val="bottom"/>
          </w:tcPr>
          <w:p w:rsidR="0022767B" w:rsidRDefault="0022767B" w:rsidP="00C80981">
            <w:pPr>
              <w:pStyle w:val="AERtabletext-numbers"/>
              <w:jc w:val="center"/>
              <w:rPr>
                <w:rFonts w:ascii="Arial" w:hAnsi="Arial" w:cs="Arial"/>
              </w:rPr>
            </w:pPr>
            <w:r>
              <w:rPr>
                <w:rFonts w:ascii="Arial" w:hAnsi="Arial" w:cs="Arial"/>
              </w:rPr>
              <w:t>6905</w:t>
            </w:r>
          </w:p>
        </w:tc>
      </w:tr>
      <w:tr w:rsidR="0022767B" w:rsidRPr="00095C39" w:rsidTr="002C7E9A">
        <w:tc>
          <w:tcPr>
            <w:tcW w:w="2802" w:type="dxa"/>
            <w:tcBorders>
              <w:top w:val="nil"/>
              <w:bottom w:val="single" w:sz="4" w:space="0" w:color="auto"/>
            </w:tcBorders>
            <w:shd w:val="clear" w:color="auto" w:fill="DDD9C3"/>
            <w:noWrap/>
            <w:vAlign w:val="bottom"/>
          </w:tcPr>
          <w:p w:rsidR="0022767B" w:rsidRPr="00C80981" w:rsidRDefault="0022767B" w:rsidP="00C80981">
            <w:pPr>
              <w:pStyle w:val="AERtabletext-numbers"/>
              <w:jc w:val="left"/>
              <w:rPr>
                <w:b/>
              </w:rPr>
            </w:pPr>
            <w:r>
              <w:rPr>
                <w:rFonts w:ascii="Arial" w:hAnsi="Arial" w:cs="Arial"/>
              </w:rPr>
              <w:t>Available capacity (MW)</w:t>
            </w:r>
          </w:p>
        </w:tc>
        <w:tc>
          <w:tcPr>
            <w:tcW w:w="2090" w:type="dxa"/>
            <w:tcBorders>
              <w:top w:val="nil"/>
              <w:bottom w:val="single" w:sz="4" w:space="0" w:color="auto"/>
            </w:tcBorders>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9700</w:t>
            </w:r>
          </w:p>
        </w:tc>
        <w:tc>
          <w:tcPr>
            <w:tcW w:w="2090" w:type="dxa"/>
            <w:tcBorders>
              <w:top w:val="nil"/>
              <w:bottom w:val="single" w:sz="4" w:space="0" w:color="auto"/>
            </w:tcBorders>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9806</w:t>
            </w:r>
          </w:p>
        </w:tc>
        <w:tc>
          <w:tcPr>
            <w:tcW w:w="2090" w:type="dxa"/>
            <w:tcBorders>
              <w:top w:val="nil"/>
              <w:bottom w:val="single" w:sz="4" w:space="0" w:color="auto"/>
            </w:tcBorders>
            <w:shd w:val="clear" w:color="auto" w:fill="DDD9C3"/>
            <w:noWrap/>
            <w:vAlign w:val="bottom"/>
          </w:tcPr>
          <w:p w:rsidR="0022767B" w:rsidRDefault="0022767B" w:rsidP="00C80981">
            <w:pPr>
              <w:pStyle w:val="AERtabletext-numbers"/>
              <w:jc w:val="center"/>
              <w:rPr>
                <w:rFonts w:ascii="Arial" w:hAnsi="Arial" w:cs="Arial"/>
              </w:rPr>
            </w:pPr>
            <w:r>
              <w:rPr>
                <w:rFonts w:ascii="Arial" w:hAnsi="Arial" w:cs="Arial"/>
              </w:rPr>
              <w:t>9726</w:t>
            </w:r>
          </w:p>
        </w:tc>
      </w:tr>
    </w:tbl>
    <w:p w:rsidR="00E747CD" w:rsidRDefault="00E747CD" w:rsidP="00E747CD">
      <w:pPr>
        <w:pStyle w:val="AERbodytext"/>
        <w:spacing w:after="0"/>
      </w:pPr>
    </w:p>
    <w:p w:rsidR="00C80981" w:rsidRDefault="00C80981" w:rsidP="00C80981">
      <w:pPr>
        <w:pStyle w:val="AERbodytext"/>
      </w:pPr>
      <w:r>
        <w:t>Conditions at the time saw demand and available capacity close to forecast.</w:t>
      </w:r>
    </w:p>
    <w:p w:rsidR="004F5E48" w:rsidRDefault="001F77AE" w:rsidP="00C80981">
      <w:pPr>
        <w:pStyle w:val="AERbodytext"/>
      </w:pPr>
      <w:r>
        <w:rPr>
          <w:rFonts w:cs="Gautami"/>
          <w:bCs/>
          <w:szCs w:val="18"/>
        </w:rPr>
        <w:t>With t</w:t>
      </w:r>
      <w:r w:rsidR="00851548" w:rsidRPr="00430982">
        <w:rPr>
          <w:rFonts w:cs="Gautami"/>
          <w:bCs/>
          <w:szCs w:val="18"/>
        </w:rPr>
        <w:t>he Terranora interconnector still unavailable (</w:t>
      </w:r>
      <w:r>
        <w:rPr>
          <w:rFonts w:cs="Gautami"/>
          <w:bCs/>
          <w:szCs w:val="18"/>
        </w:rPr>
        <w:t xml:space="preserve">on a planned outage </w:t>
      </w:r>
      <w:r w:rsidR="00851548" w:rsidRPr="00430982">
        <w:rPr>
          <w:rFonts w:cs="Gautami"/>
          <w:bCs/>
          <w:szCs w:val="18"/>
        </w:rPr>
        <w:t xml:space="preserve">since 8 August) and voltage collapse constraints from the loss of the </w:t>
      </w:r>
      <w:r w:rsidR="00851548">
        <w:rPr>
          <w:rFonts w:cs="Gautami"/>
          <w:bCs/>
          <w:szCs w:val="18"/>
        </w:rPr>
        <w:t>Liddell to Muswellbrook line</w:t>
      </w:r>
      <w:r w:rsidR="00851548" w:rsidRPr="00430982">
        <w:rPr>
          <w:rFonts w:cs="Gautami"/>
          <w:bCs/>
          <w:szCs w:val="18"/>
        </w:rPr>
        <w:t xml:space="preserve"> limited QNI to around </w:t>
      </w:r>
      <w:r w:rsidR="00851548" w:rsidRPr="00411539">
        <w:rPr>
          <w:rFonts w:cs="Gautami"/>
          <w:bCs/>
          <w:szCs w:val="18"/>
        </w:rPr>
        <w:t>460 MW.</w:t>
      </w:r>
      <w:r w:rsidRPr="001F77AE">
        <w:rPr>
          <w:rFonts w:cs="Gautami"/>
          <w:bCs/>
          <w:szCs w:val="18"/>
        </w:rPr>
        <w:t xml:space="preserve"> </w:t>
      </w:r>
      <w:proofErr w:type="gramStart"/>
      <w:r>
        <w:rPr>
          <w:rFonts w:cs="Gautami"/>
          <w:bCs/>
          <w:szCs w:val="18"/>
        </w:rPr>
        <w:t>the</w:t>
      </w:r>
      <w:proofErr w:type="gramEnd"/>
      <w:r>
        <w:rPr>
          <w:rFonts w:cs="Gautami"/>
          <w:bCs/>
          <w:szCs w:val="18"/>
        </w:rPr>
        <w:t xml:space="preserve"> At the time, there was reduced import capability into Queensland.</w:t>
      </w:r>
    </w:p>
    <w:p w:rsidR="003B785F" w:rsidRDefault="00C0429F" w:rsidP="003B785F">
      <w:pPr>
        <w:pStyle w:val="AERbodytext"/>
      </w:pPr>
      <w:r>
        <w:t>At</w:t>
      </w:r>
      <w:r w:rsidR="003B785F">
        <w:t xml:space="preserve"> </w:t>
      </w:r>
      <w:r>
        <w:t>3.34</w:t>
      </w:r>
      <w:r w:rsidR="003B785F">
        <w:t xml:space="preserve"> pm, effective from </w:t>
      </w:r>
      <w:r>
        <w:t>3.45 pm,</w:t>
      </w:r>
      <w:r w:rsidR="003B785F">
        <w:t xml:space="preserve"> Stanwell </w:t>
      </w:r>
      <w:r>
        <w:t xml:space="preserve">Corporation </w:t>
      </w:r>
      <w:r w:rsidR="003B785F">
        <w:t xml:space="preserve">rebid a total of </w:t>
      </w:r>
      <w:r>
        <w:t>1127</w:t>
      </w:r>
      <w:r w:rsidR="00EE1FE0">
        <w:t> MW</w:t>
      </w:r>
      <w:r w:rsidR="003B785F">
        <w:t xml:space="preserve"> of capacity </w:t>
      </w:r>
      <w:r w:rsidR="00B451DB">
        <w:t>across its portfolio</w:t>
      </w:r>
      <w:r w:rsidR="003B785F">
        <w:t xml:space="preserve"> from prices </w:t>
      </w:r>
      <w:r>
        <w:t>mainly be</w:t>
      </w:r>
      <w:r w:rsidR="003B785F">
        <w:t xml:space="preserve">low </w:t>
      </w:r>
      <w:r w:rsidR="00EE1FE0">
        <w:t>$90/MWh</w:t>
      </w:r>
      <w:r w:rsidR="003B785F">
        <w:t xml:space="preserve"> to</w:t>
      </w:r>
      <w:r w:rsidR="00B451DB">
        <w:t xml:space="preserve"> </w:t>
      </w:r>
      <w:r>
        <w:t>the price cap. The reason</w:t>
      </w:r>
      <w:r w:rsidR="00B451DB">
        <w:t xml:space="preserve"> given </w:t>
      </w:r>
      <w:r>
        <w:t>was</w:t>
      </w:r>
      <w:r w:rsidR="00B451DB">
        <w:t xml:space="preserve"> </w:t>
      </w:r>
      <w:r w:rsidR="00B451DB" w:rsidRPr="00C0429F">
        <w:t>“</w:t>
      </w:r>
      <w:r w:rsidRPr="00C0429F">
        <w:t>1533A QLD demand PD5MIN &gt; PD30MIN@1533 for 1600TI - SL</w:t>
      </w:r>
      <w:r w:rsidR="00B451DB" w:rsidRPr="00C0429F">
        <w:t>”</w:t>
      </w:r>
      <w:r w:rsidR="003B785F" w:rsidRPr="00C0429F">
        <w:t xml:space="preserve">. </w:t>
      </w:r>
    </w:p>
    <w:p w:rsidR="00C0429F" w:rsidRPr="004F5E48" w:rsidRDefault="001F77AE" w:rsidP="003B785F">
      <w:pPr>
        <w:pStyle w:val="AERbodytext"/>
      </w:pPr>
      <w:r>
        <w:t xml:space="preserve">From 3.55 pm </w:t>
      </w:r>
      <w:r w:rsidR="00C0429F">
        <w:t xml:space="preserve">there was </w:t>
      </w:r>
      <w:r w:rsidR="0039213D">
        <w:t>an</w:t>
      </w:r>
      <w:r w:rsidR="00C0429F">
        <w:t xml:space="preserve"> 80 MW increase in </w:t>
      </w:r>
      <w:r>
        <w:t xml:space="preserve">5 minute </w:t>
      </w:r>
      <w:r w:rsidR="00C0429F">
        <w:t>demand</w:t>
      </w:r>
      <w:r>
        <w:t xml:space="preserve">. With </w:t>
      </w:r>
      <w:r w:rsidR="0039213D">
        <w:t xml:space="preserve">low-priced capacity either ramp rate limited or trapped in FCAS high-priced capacity </w:t>
      </w:r>
      <w:r>
        <w:t xml:space="preserve">was </w:t>
      </w:r>
      <w:r w:rsidR="0039213D">
        <w:t>dispatched in its place</w:t>
      </w:r>
      <w:r>
        <w:t>, which saw</w:t>
      </w:r>
      <w:r w:rsidR="0039213D">
        <w:t xml:space="preserve"> </w:t>
      </w:r>
      <w:r w:rsidR="00C0429F">
        <w:t>the 5</w:t>
      </w:r>
      <w:r w:rsidR="00F77C86">
        <w:t> </w:t>
      </w:r>
      <w:r w:rsidR="00C0429F">
        <w:t xml:space="preserve">minute price increase from </w:t>
      </w:r>
      <w:r w:rsidR="00C0429F" w:rsidRPr="004F5E48">
        <w:t>$66/MWh at 3.55 pm to the price cap at 4 pm</w:t>
      </w:r>
      <w:r w:rsidR="00420EBB">
        <w:t xml:space="preserve"> (when QNI reached its limit)</w:t>
      </w:r>
      <w:r w:rsidR="00C0429F" w:rsidRPr="004F5E48">
        <w:t>.</w:t>
      </w:r>
    </w:p>
    <w:p w:rsidR="00FF5B8C" w:rsidRPr="004F5E48" w:rsidRDefault="00F35828" w:rsidP="00FF5B8C">
      <w:pPr>
        <w:pStyle w:val="AERbodytext"/>
      </w:pPr>
      <w:r w:rsidRPr="004F5E48">
        <w:t xml:space="preserve">Prices returned to </w:t>
      </w:r>
      <w:r w:rsidR="0039213D">
        <w:t>around</w:t>
      </w:r>
      <w:r w:rsidRPr="004F5E48">
        <w:t xml:space="preserve"> $60/MWh at </w:t>
      </w:r>
      <w:r w:rsidR="00C0429F" w:rsidRPr="004F5E48">
        <w:t>4.05 </w:t>
      </w:r>
      <w:r w:rsidRPr="004F5E48">
        <w:t xml:space="preserve">pm, </w:t>
      </w:r>
      <w:r w:rsidR="0039213D">
        <w:t xml:space="preserve">as </w:t>
      </w:r>
      <w:r w:rsidR="00F77C86">
        <w:t xml:space="preserve">the </w:t>
      </w:r>
      <w:r w:rsidR="0039213D">
        <w:t xml:space="preserve">majority of </w:t>
      </w:r>
      <w:r w:rsidR="00F77C86">
        <w:t xml:space="preserve">capacity from </w:t>
      </w:r>
      <w:r w:rsidR="0039213D">
        <w:t>Stanwell’s 3.34 pm rebid was only effective for the 4 pm trading interval.</w:t>
      </w:r>
    </w:p>
    <w:p w:rsidR="00A6752D" w:rsidRDefault="00FF5B8C" w:rsidP="00FF5B8C">
      <w:pPr>
        <w:pStyle w:val="AERbodytext"/>
      </w:pPr>
      <w:r w:rsidRPr="004F5E48">
        <w:t>There was no other significant rebidding.</w:t>
      </w:r>
    </w:p>
    <w:p w:rsidR="00FF5B8C" w:rsidRDefault="00A6752D" w:rsidP="00FF5B8C">
      <w:pPr>
        <w:pStyle w:val="AERbodytext"/>
      </w:pPr>
      <w:r>
        <w:t>There were two occasions where the spot price in Tasmania was greater than three times the Tasmanian weekly average price of $52/MWh and $250/MWh.</w:t>
      </w:r>
    </w:p>
    <w:p w:rsidR="00C80981" w:rsidRPr="00470218" w:rsidRDefault="00C80981" w:rsidP="00C80981">
      <w:pPr>
        <w:pStyle w:val="AERtabletitle"/>
      </w:pPr>
      <w:r>
        <w:t xml:space="preserve">Table </w:t>
      </w:r>
      <w:r w:rsidR="004F5E48">
        <w:t>4</w:t>
      </w:r>
      <w:r w:rsidRPr="00470218">
        <w:t xml:space="preserve">: </w:t>
      </w:r>
      <w:r w:rsidR="004F5E48">
        <w:t>Tasmania</w:t>
      </w:r>
      <w:r w:rsidRPr="00470218">
        <w:t>,</w:t>
      </w:r>
      <w:r>
        <w:t xml:space="preserve"> </w:t>
      </w:r>
      <w:r w:rsidR="002F70DE" w:rsidRPr="002F70DE">
        <w:t xml:space="preserve">Friday, 22 November </w:t>
      </w:r>
    </w:p>
    <w:tbl>
      <w:tblPr>
        <w:tblW w:w="9070" w:type="dxa"/>
        <w:tblInd w:w="110" w:type="dxa"/>
        <w:tblBorders>
          <w:top w:val="single" w:sz="8" w:space="0" w:color="7BA0CD"/>
          <w:bottom w:val="single" w:sz="8" w:space="0" w:color="7BA0CD"/>
        </w:tblBorders>
        <w:tblLook w:val="04A0" w:firstRow="1" w:lastRow="0" w:firstColumn="1" w:lastColumn="0" w:noHBand="0" w:noVBand="1"/>
      </w:tblPr>
      <w:tblGrid>
        <w:gridCol w:w="2805"/>
        <w:gridCol w:w="2091"/>
        <w:gridCol w:w="2090"/>
        <w:gridCol w:w="2084"/>
      </w:tblGrid>
      <w:tr w:rsidR="00C80981" w:rsidRPr="00095C39" w:rsidTr="002F70DE">
        <w:tc>
          <w:tcPr>
            <w:tcW w:w="1546" w:type="pct"/>
            <w:shd w:val="clear" w:color="auto" w:fill="4A442A"/>
            <w:noWrap/>
            <w:vAlign w:val="bottom"/>
          </w:tcPr>
          <w:p w:rsidR="00C80981" w:rsidRPr="00186747" w:rsidRDefault="002F70DE" w:rsidP="002F70DE">
            <w:pPr>
              <w:autoSpaceDE w:val="0"/>
              <w:autoSpaceDN w:val="0"/>
              <w:adjustRightInd w:val="0"/>
              <w:spacing w:before="100" w:after="100"/>
              <w:rPr>
                <w:color w:val="FFFFFF"/>
                <w:sz w:val="18"/>
                <w:szCs w:val="18"/>
              </w:rPr>
            </w:pPr>
            <w:r>
              <w:rPr>
                <w:b/>
                <w:bCs/>
                <w:color w:val="FFFFFF"/>
                <w:sz w:val="18"/>
                <w:szCs w:val="18"/>
              </w:rPr>
              <w:t>4.30</w:t>
            </w:r>
            <w:r w:rsidR="00C80981" w:rsidRPr="00186747">
              <w:rPr>
                <w:b/>
                <w:bCs/>
                <w:color w:val="FFFFFF"/>
                <w:sz w:val="18"/>
                <w:szCs w:val="18"/>
              </w:rPr>
              <w:t xml:space="preserve"> </w:t>
            </w:r>
            <w:r>
              <w:rPr>
                <w:b/>
                <w:bCs/>
                <w:color w:val="FFFFFF"/>
                <w:sz w:val="18"/>
                <w:szCs w:val="18"/>
              </w:rPr>
              <w:t>P</w:t>
            </w:r>
            <w:r w:rsidR="00C80981" w:rsidRPr="00186747">
              <w:rPr>
                <w:b/>
                <w:bCs/>
                <w:color w:val="FFFFFF"/>
                <w:sz w:val="18"/>
                <w:szCs w:val="18"/>
              </w:rPr>
              <w:t>M</w:t>
            </w:r>
          </w:p>
        </w:tc>
        <w:tc>
          <w:tcPr>
            <w:tcW w:w="1152" w:type="pct"/>
            <w:shd w:val="clear" w:color="auto" w:fill="4A442A"/>
            <w:noWrap/>
            <w:vAlign w:val="bottom"/>
          </w:tcPr>
          <w:p w:rsidR="00C80981" w:rsidRPr="00186747" w:rsidRDefault="00C80981" w:rsidP="00C80981">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1152" w:type="pct"/>
            <w:shd w:val="clear" w:color="auto" w:fill="4A442A"/>
            <w:noWrap/>
            <w:vAlign w:val="bottom"/>
          </w:tcPr>
          <w:p w:rsidR="00C80981" w:rsidRPr="00186747" w:rsidRDefault="00C80981" w:rsidP="00C80981">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1149" w:type="pct"/>
            <w:shd w:val="clear" w:color="auto" w:fill="4A442A"/>
            <w:noWrap/>
            <w:vAlign w:val="bottom"/>
          </w:tcPr>
          <w:p w:rsidR="00C80981" w:rsidRPr="00186747" w:rsidRDefault="00C80981" w:rsidP="00C80981">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2F70DE" w:rsidRPr="00095C39" w:rsidTr="002F70DE">
        <w:tc>
          <w:tcPr>
            <w:tcW w:w="1546" w:type="pct"/>
            <w:shd w:val="clear" w:color="auto" w:fill="DDD9C3"/>
            <w:noWrap/>
            <w:vAlign w:val="bottom"/>
          </w:tcPr>
          <w:p w:rsidR="002F70DE" w:rsidRPr="00C80981" w:rsidRDefault="002F70DE" w:rsidP="00C80981">
            <w:pPr>
              <w:pStyle w:val="AERtabletext-numbers"/>
              <w:jc w:val="left"/>
              <w:rPr>
                <w:b/>
              </w:rPr>
            </w:pPr>
            <w:r w:rsidRPr="00C80981">
              <w:rPr>
                <w:b/>
              </w:rPr>
              <w:t>Price ($/MWh)</w:t>
            </w:r>
          </w:p>
        </w:tc>
        <w:tc>
          <w:tcPr>
            <w:tcW w:w="1152"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2220.32</w:t>
            </w:r>
          </w:p>
        </w:tc>
        <w:tc>
          <w:tcPr>
            <w:tcW w:w="1152"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46.21</w:t>
            </w:r>
          </w:p>
        </w:tc>
        <w:tc>
          <w:tcPr>
            <w:tcW w:w="1149"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47.28</w:t>
            </w:r>
          </w:p>
        </w:tc>
      </w:tr>
      <w:tr w:rsidR="002F70DE" w:rsidRPr="00095C39" w:rsidTr="002F70DE">
        <w:tc>
          <w:tcPr>
            <w:tcW w:w="1546" w:type="pct"/>
            <w:tcBorders>
              <w:bottom w:val="nil"/>
            </w:tcBorders>
            <w:shd w:val="clear" w:color="auto" w:fill="EEECE1"/>
            <w:noWrap/>
            <w:vAlign w:val="bottom"/>
          </w:tcPr>
          <w:p w:rsidR="002F70DE" w:rsidRPr="00C80981" w:rsidRDefault="002F70DE" w:rsidP="00C80981">
            <w:pPr>
              <w:pStyle w:val="AERtabletext-numbers"/>
              <w:jc w:val="left"/>
              <w:rPr>
                <w:b/>
              </w:rPr>
            </w:pPr>
            <w:r w:rsidRPr="00C80981">
              <w:rPr>
                <w:b/>
              </w:rPr>
              <w:t>Demand (MW)</w:t>
            </w:r>
          </w:p>
        </w:tc>
        <w:tc>
          <w:tcPr>
            <w:tcW w:w="1152"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1143</w:t>
            </w:r>
          </w:p>
        </w:tc>
        <w:tc>
          <w:tcPr>
            <w:tcW w:w="1152"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1130</w:t>
            </w:r>
          </w:p>
        </w:tc>
        <w:tc>
          <w:tcPr>
            <w:tcW w:w="1149"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1152</w:t>
            </w:r>
          </w:p>
        </w:tc>
      </w:tr>
      <w:tr w:rsidR="002F70DE" w:rsidRPr="00095C39" w:rsidTr="002F70DE">
        <w:tc>
          <w:tcPr>
            <w:tcW w:w="1546" w:type="pct"/>
            <w:tcBorders>
              <w:top w:val="nil"/>
              <w:bottom w:val="single" w:sz="4" w:space="0" w:color="auto"/>
            </w:tcBorders>
            <w:shd w:val="clear" w:color="auto" w:fill="DDD9C3"/>
            <w:noWrap/>
            <w:vAlign w:val="bottom"/>
          </w:tcPr>
          <w:p w:rsidR="002F70DE" w:rsidRPr="00C80981" w:rsidRDefault="002F70DE" w:rsidP="00C80981">
            <w:pPr>
              <w:pStyle w:val="AERtabletext-numbers"/>
              <w:jc w:val="left"/>
              <w:rPr>
                <w:b/>
              </w:rPr>
            </w:pPr>
            <w:r w:rsidRPr="00C80981">
              <w:rPr>
                <w:b/>
              </w:rPr>
              <w:t>Available capacity (MW)</w:t>
            </w:r>
          </w:p>
        </w:tc>
        <w:tc>
          <w:tcPr>
            <w:tcW w:w="1152"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2237</w:t>
            </w:r>
          </w:p>
        </w:tc>
        <w:tc>
          <w:tcPr>
            <w:tcW w:w="1152"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2252</w:t>
            </w:r>
          </w:p>
        </w:tc>
        <w:tc>
          <w:tcPr>
            <w:tcW w:w="1149"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2251</w:t>
            </w:r>
          </w:p>
        </w:tc>
      </w:tr>
      <w:tr w:rsidR="002F70DE" w:rsidRPr="00095C39" w:rsidTr="002F70DE">
        <w:tc>
          <w:tcPr>
            <w:tcW w:w="1546" w:type="pct"/>
            <w:shd w:val="clear" w:color="auto" w:fill="4A442A"/>
            <w:noWrap/>
            <w:vAlign w:val="bottom"/>
          </w:tcPr>
          <w:p w:rsidR="002F70DE" w:rsidRPr="00186747" w:rsidRDefault="002F70DE" w:rsidP="002F70DE">
            <w:pPr>
              <w:autoSpaceDE w:val="0"/>
              <w:autoSpaceDN w:val="0"/>
              <w:adjustRightInd w:val="0"/>
              <w:spacing w:before="100" w:after="100"/>
              <w:rPr>
                <w:color w:val="FFFFFF"/>
                <w:sz w:val="18"/>
                <w:szCs w:val="18"/>
              </w:rPr>
            </w:pPr>
            <w:r>
              <w:rPr>
                <w:b/>
                <w:bCs/>
                <w:color w:val="FFFFFF"/>
                <w:sz w:val="18"/>
                <w:szCs w:val="18"/>
              </w:rPr>
              <w:t>5</w:t>
            </w:r>
            <w:r w:rsidRPr="00186747">
              <w:rPr>
                <w:b/>
                <w:bCs/>
                <w:color w:val="FFFFFF"/>
                <w:sz w:val="18"/>
                <w:szCs w:val="18"/>
              </w:rPr>
              <w:t xml:space="preserve"> </w:t>
            </w:r>
            <w:r>
              <w:rPr>
                <w:b/>
                <w:bCs/>
                <w:color w:val="FFFFFF"/>
                <w:sz w:val="18"/>
                <w:szCs w:val="18"/>
              </w:rPr>
              <w:t>P</w:t>
            </w:r>
            <w:r w:rsidRPr="00186747">
              <w:rPr>
                <w:b/>
                <w:bCs/>
                <w:color w:val="FFFFFF"/>
                <w:sz w:val="18"/>
                <w:szCs w:val="18"/>
              </w:rPr>
              <w:t>M</w:t>
            </w:r>
          </w:p>
        </w:tc>
        <w:tc>
          <w:tcPr>
            <w:tcW w:w="1152" w:type="pct"/>
            <w:shd w:val="clear" w:color="auto" w:fill="4A442A"/>
            <w:noWrap/>
            <w:vAlign w:val="bottom"/>
          </w:tcPr>
          <w:p w:rsidR="002F70DE" w:rsidRPr="00186747" w:rsidRDefault="002F70DE" w:rsidP="005F3D1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1152" w:type="pct"/>
            <w:shd w:val="clear" w:color="auto" w:fill="4A442A"/>
            <w:noWrap/>
            <w:vAlign w:val="bottom"/>
          </w:tcPr>
          <w:p w:rsidR="002F70DE" w:rsidRPr="00186747" w:rsidRDefault="002F70DE" w:rsidP="005F3D1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1149" w:type="pct"/>
            <w:shd w:val="clear" w:color="auto" w:fill="4A442A"/>
            <w:noWrap/>
            <w:vAlign w:val="bottom"/>
          </w:tcPr>
          <w:p w:rsidR="002F70DE" w:rsidRPr="00186747" w:rsidRDefault="002F70DE" w:rsidP="005F3D1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2F70DE" w:rsidRPr="00095C39" w:rsidTr="002F70DE">
        <w:tc>
          <w:tcPr>
            <w:tcW w:w="1546" w:type="pct"/>
            <w:shd w:val="clear" w:color="auto" w:fill="DDD9C3"/>
            <w:noWrap/>
            <w:vAlign w:val="bottom"/>
          </w:tcPr>
          <w:p w:rsidR="002F70DE" w:rsidRPr="00C80981" w:rsidRDefault="002F70DE" w:rsidP="005F3D18">
            <w:pPr>
              <w:pStyle w:val="AERtabletext-numbers"/>
              <w:jc w:val="left"/>
              <w:rPr>
                <w:b/>
              </w:rPr>
            </w:pPr>
            <w:r w:rsidRPr="00C80981">
              <w:rPr>
                <w:b/>
              </w:rPr>
              <w:t>Price ($/MWh)</w:t>
            </w:r>
          </w:p>
        </w:tc>
        <w:tc>
          <w:tcPr>
            <w:tcW w:w="1152"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259.76</w:t>
            </w:r>
          </w:p>
        </w:tc>
        <w:tc>
          <w:tcPr>
            <w:tcW w:w="1152"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46.32</w:t>
            </w:r>
          </w:p>
        </w:tc>
        <w:tc>
          <w:tcPr>
            <w:tcW w:w="1149" w:type="pct"/>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46.50</w:t>
            </w:r>
          </w:p>
        </w:tc>
      </w:tr>
      <w:tr w:rsidR="002F70DE" w:rsidRPr="00095C39" w:rsidTr="002F70DE">
        <w:tc>
          <w:tcPr>
            <w:tcW w:w="1546" w:type="pct"/>
            <w:tcBorders>
              <w:bottom w:val="nil"/>
            </w:tcBorders>
            <w:shd w:val="clear" w:color="auto" w:fill="EEECE1"/>
            <w:noWrap/>
            <w:vAlign w:val="bottom"/>
          </w:tcPr>
          <w:p w:rsidR="002F70DE" w:rsidRPr="00C80981" w:rsidRDefault="002F70DE" w:rsidP="005F3D18">
            <w:pPr>
              <w:pStyle w:val="AERtabletext-numbers"/>
              <w:jc w:val="left"/>
              <w:rPr>
                <w:b/>
              </w:rPr>
            </w:pPr>
            <w:r w:rsidRPr="00C80981">
              <w:rPr>
                <w:b/>
              </w:rPr>
              <w:t>Demand (MW)</w:t>
            </w:r>
          </w:p>
        </w:tc>
        <w:tc>
          <w:tcPr>
            <w:tcW w:w="1152"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1064</w:t>
            </w:r>
          </w:p>
        </w:tc>
        <w:tc>
          <w:tcPr>
            <w:tcW w:w="1152"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1134</w:t>
            </w:r>
          </w:p>
        </w:tc>
        <w:tc>
          <w:tcPr>
            <w:tcW w:w="1149" w:type="pct"/>
            <w:tcBorders>
              <w:bottom w:val="nil"/>
            </w:tcBorders>
            <w:shd w:val="clear" w:color="auto" w:fill="EEECE1"/>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1166</w:t>
            </w:r>
          </w:p>
        </w:tc>
      </w:tr>
      <w:tr w:rsidR="002F70DE" w:rsidRPr="00095C39" w:rsidTr="002F70DE">
        <w:tc>
          <w:tcPr>
            <w:tcW w:w="1546" w:type="pct"/>
            <w:tcBorders>
              <w:top w:val="nil"/>
              <w:bottom w:val="single" w:sz="4" w:space="0" w:color="auto"/>
            </w:tcBorders>
            <w:shd w:val="clear" w:color="auto" w:fill="DDD9C3"/>
            <w:noWrap/>
            <w:vAlign w:val="bottom"/>
          </w:tcPr>
          <w:p w:rsidR="002F70DE" w:rsidRPr="00C80981" w:rsidRDefault="002F70DE" w:rsidP="005F3D18">
            <w:pPr>
              <w:pStyle w:val="AERtabletext-numbers"/>
              <w:jc w:val="left"/>
              <w:rPr>
                <w:b/>
              </w:rPr>
            </w:pPr>
            <w:r w:rsidRPr="00C80981">
              <w:rPr>
                <w:b/>
              </w:rPr>
              <w:t>Available capacity (MW)</w:t>
            </w:r>
          </w:p>
        </w:tc>
        <w:tc>
          <w:tcPr>
            <w:tcW w:w="1152"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2237</w:t>
            </w:r>
          </w:p>
        </w:tc>
        <w:tc>
          <w:tcPr>
            <w:tcW w:w="1152"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2246</w:t>
            </w:r>
          </w:p>
        </w:tc>
        <w:tc>
          <w:tcPr>
            <w:tcW w:w="1149" w:type="pct"/>
            <w:tcBorders>
              <w:top w:val="nil"/>
              <w:bottom w:val="single" w:sz="4" w:space="0" w:color="auto"/>
            </w:tcBorders>
            <w:shd w:val="clear" w:color="auto" w:fill="DDD9C3"/>
            <w:noWrap/>
            <w:vAlign w:val="bottom"/>
          </w:tcPr>
          <w:p w:rsidR="002F70DE" w:rsidRPr="002F70DE" w:rsidRDefault="002F70DE" w:rsidP="002F70DE">
            <w:pPr>
              <w:pStyle w:val="AERtabletext-numbers"/>
              <w:jc w:val="center"/>
              <w:rPr>
                <w:rFonts w:ascii="Arial" w:hAnsi="Arial" w:cs="Arial"/>
              </w:rPr>
            </w:pPr>
            <w:r w:rsidRPr="002F70DE">
              <w:rPr>
                <w:rFonts w:ascii="Arial" w:hAnsi="Arial" w:cs="Arial"/>
              </w:rPr>
              <w:t>2252</w:t>
            </w:r>
          </w:p>
        </w:tc>
      </w:tr>
    </w:tbl>
    <w:p w:rsidR="002C7E9A" w:rsidRDefault="002C7E9A" w:rsidP="009864C0">
      <w:pPr>
        <w:pStyle w:val="AERbodytext"/>
      </w:pPr>
    </w:p>
    <w:p w:rsidR="00C80981" w:rsidRPr="00597416" w:rsidRDefault="00C80981" w:rsidP="00C80981">
      <w:pPr>
        <w:pStyle w:val="AERbodytext"/>
      </w:pPr>
      <w:r w:rsidRPr="00597416">
        <w:t xml:space="preserve">Conditions at the time saw demand and available capacity </w:t>
      </w:r>
      <w:r w:rsidR="005F3D18" w:rsidRPr="00597416">
        <w:t>close to that</w:t>
      </w:r>
      <w:r w:rsidRPr="00597416">
        <w:t xml:space="preserve"> forecast.</w:t>
      </w:r>
    </w:p>
    <w:p w:rsidR="00597416" w:rsidRPr="005D2B9C" w:rsidRDefault="00634BE8" w:rsidP="00597416">
      <w:pPr>
        <w:pStyle w:val="AERbodytext"/>
      </w:pPr>
      <w:r w:rsidRPr="00634BE8">
        <w:t>At 2.15 pm,</w:t>
      </w:r>
      <w:r>
        <w:t xml:space="preserve"> </w:t>
      </w:r>
      <w:r w:rsidRPr="00634BE8">
        <w:t xml:space="preserve">the </w:t>
      </w:r>
      <w:r>
        <w:t xml:space="preserve">loss of the </w:t>
      </w:r>
      <w:r w:rsidRPr="00634BE8">
        <w:t xml:space="preserve">Farrell-Sheffield </w:t>
      </w:r>
      <w:r w:rsidR="00F77C86" w:rsidRPr="00634BE8">
        <w:t xml:space="preserve">parallel </w:t>
      </w:r>
      <w:r w:rsidRPr="00634BE8">
        <w:t>220</w:t>
      </w:r>
      <w:r w:rsidR="00F77C86">
        <w:t> </w:t>
      </w:r>
      <w:r w:rsidRPr="00634BE8">
        <w:t>kV lines was declared a credible contingency due to lightning</w:t>
      </w:r>
      <w:r>
        <w:t xml:space="preserve">. </w:t>
      </w:r>
      <w:r w:rsidR="00597416" w:rsidRPr="00597416">
        <w:t xml:space="preserve">At </w:t>
      </w:r>
      <w:r>
        <w:t>4.30 </w:t>
      </w:r>
      <w:r w:rsidR="00597416" w:rsidRPr="00597416">
        <w:t xml:space="preserve">pm, the </w:t>
      </w:r>
      <w:r w:rsidR="00B80C35">
        <w:t xml:space="preserve">loss of the </w:t>
      </w:r>
      <w:r w:rsidRPr="00634BE8">
        <w:t>Hadspen to George Town 220</w:t>
      </w:r>
      <w:r w:rsidR="00F77C86">
        <w:t> </w:t>
      </w:r>
      <w:r w:rsidRPr="00634BE8">
        <w:t>kV lines or Palmerston to Hadspen 220kV lines</w:t>
      </w:r>
      <w:r w:rsidR="00597416" w:rsidRPr="00597416">
        <w:t xml:space="preserve"> were reclassified as credible contingencies </w:t>
      </w:r>
      <w:r w:rsidR="00F00825">
        <w:t>due to lighting. The constraint</w:t>
      </w:r>
      <w:r w:rsidR="00597416" w:rsidRPr="00597416">
        <w:t xml:space="preserve"> invoked to manage </w:t>
      </w:r>
      <w:r w:rsidR="00B80C35">
        <w:t>this</w:t>
      </w:r>
      <w:r w:rsidR="00597416" w:rsidRPr="00597416">
        <w:t xml:space="preserve"> affects all generation in Tasmania with the exception of Tamar </w:t>
      </w:r>
      <w:r w:rsidR="00597416" w:rsidRPr="005D2B9C">
        <w:t>Valley generation</w:t>
      </w:r>
      <w:r w:rsidR="00313AF0">
        <w:t xml:space="preserve"> </w:t>
      </w:r>
      <w:r w:rsidR="00F77C86">
        <w:t>(</w:t>
      </w:r>
      <w:r w:rsidR="00597416" w:rsidRPr="005D2B9C">
        <w:t xml:space="preserve">which was offline at the time). </w:t>
      </w:r>
    </w:p>
    <w:p w:rsidR="00597416" w:rsidRPr="00CB5474" w:rsidRDefault="00597416" w:rsidP="00597416">
      <w:pPr>
        <w:pStyle w:val="AERbodytext"/>
      </w:pPr>
      <w:r w:rsidRPr="005D2B9C">
        <w:t xml:space="preserve">At 4.30 pm, </w:t>
      </w:r>
      <w:r w:rsidR="00F00825">
        <w:t>a</w:t>
      </w:r>
      <w:r w:rsidRPr="005D2B9C">
        <w:t xml:space="preserve"> constraint managing the load on one of the </w:t>
      </w:r>
      <w:r w:rsidR="00B80C35" w:rsidRPr="00634BE8">
        <w:t>Palmerston to Hadspen 220</w:t>
      </w:r>
      <w:r w:rsidR="00F77C86">
        <w:t> </w:t>
      </w:r>
      <w:r w:rsidR="00B80C35" w:rsidRPr="00634BE8">
        <w:t>kV lines</w:t>
      </w:r>
      <w:r w:rsidR="00B80C35" w:rsidRPr="005D2B9C">
        <w:t xml:space="preserve"> </w:t>
      </w:r>
      <w:r w:rsidRPr="005D2B9C">
        <w:t xml:space="preserve">(in the event of a trip on the parallel line) </w:t>
      </w:r>
      <w:r w:rsidR="00F00825">
        <w:t>was invoked</w:t>
      </w:r>
      <w:r w:rsidR="00F77C86">
        <w:t>. This constraint</w:t>
      </w:r>
      <w:r w:rsidR="00F00825">
        <w:t xml:space="preserve"> </w:t>
      </w:r>
      <w:r w:rsidR="00F77C86" w:rsidRPr="005D2B9C">
        <w:t xml:space="preserve">violated </w:t>
      </w:r>
      <w:r w:rsidR="00F00825">
        <w:t xml:space="preserve">immediately </w:t>
      </w:r>
      <w:r w:rsidRPr="005D2B9C">
        <w:t xml:space="preserve">when the generation requirements </w:t>
      </w:r>
      <w:r w:rsidRPr="00CB5474">
        <w:t>were unable to be met</w:t>
      </w:r>
      <w:r w:rsidR="00F77C86">
        <w:t xml:space="preserve">. This resulted in </w:t>
      </w:r>
      <w:r w:rsidRPr="00CB5474">
        <w:t xml:space="preserve">a number of generators </w:t>
      </w:r>
      <w:r w:rsidR="00F77C86">
        <w:t xml:space="preserve">being </w:t>
      </w:r>
      <w:r w:rsidRPr="00CB5474">
        <w:t xml:space="preserve">trapped or stranded in FCAS. </w:t>
      </w:r>
    </w:p>
    <w:p w:rsidR="0039213D" w:rsidRPr="00CB5474" w:rsidRDefault="00597416" w:rsidP="00597416">
      <w:pPr>
        <w:pStyle w:val="AERbodytext"/>
      </w:pPr>
      <w:r w:rsidRPr="00CB5474">
        <w:t xml:space="preserve">From </w:t>
      </w:r>
      <w:r w:rsidR="00CB5474" w:rsidRPr="00CB5474">
        <w:t>4.30 pm</w:t>
      </w:r>
      <w:r w:rsidRPr="00CB5474">
        <w:t xml:space="preserve"> to </w:t>
      </w:r>
      <w:r w:rsidR="00CB5474" w:rsidRPr="00CB5474">
        <w:t>5 pm the constraint</w:t>
      </w:r>
      <w:r w:rsidRPr="00CB5474">
        <w:t xml:space="preserve"> reduced a number of the local generating units by </w:t>
      </w:r>
      <w:r w:rsidR="00F77C86">
        <w:t xml:space="preserve">a total of around </w:t>
      </w:r>
      <w:r w:rsidR="00CB5474" w:rsidRPr="00CB5474">
        <w:t>400 </w:t>
      </w:r>
      <w:r w:rsidRPr="00CB5474">
        <w:t xml:space="preserve">MW and ramped up other generators. </w:t>
      </w:r>
      <w:r w:rsidRPr="007B4266">
        <w:t xml:space="preserve">The reduction in generation led to flows to Victoria on </w:t>
      </w:r>
      <w:proofErr w:type="spellStart"/>
      <w:r w:rsidRPr="007B4266">
        <w:t>Basslink</w:t>
      </w:r>
      <w:proofErr w:type="spellEnd"/>
      <w:r w:rsidRPr="007B4266">
        <w:t xml:space="preserve"> reducing from </w:t>
      </w:r>
      <w:r w:rsidR="0039213D" w:rsidRPr="007B4266">
        <w:t>448</w:t>
      </w:r>
      <w:r w:rsidR="0039213D" w:rsidRPr="007B4266">
        <w:rPr>
          <w:rFonts w:hint="eastAsia"/>
        </w:rPr>
        <w:t> </w:t>
      </w:r>
      <w:r w:rsidR="0039213D" w:rsidRPr="007B4266">
        <w:t xml:space="preserve">MW at </w:t>
      </w:r>
      <w:r w:rsidR="00CB5474" w:rsidRPr="007B4266">
        <w:t>4.25</w:t>
      </w:r>
      <w:r w:rsidR="00CB5474" w:rsidRPr="007B4266">
        <w:rPr>
          <w:rFonts w:hint="eastAsia"/>
        </w:rPr>
        <w:t> </w:t>
      </w:r>
      <w:r w:rsidR="0039213D" w:rsidRPr="007B4266">
        <w:t>pm to 247</w:t>
      </w:r>
      <w:r w:rsidR="0039213D" w:rsidRPr="007B4266">
        <w:rPr>
          <w:rFonts w:hint="eastAsia"/>
        </w:rPr>
        <w:t> </w:t>
      </w:r>
      <w:r w:rsidR="0039213D" w:rsidRPr="007B4266">
        <w:t xml:space="preserve">MW at </w:t>
      </w:r>
      <w:r w:rsidR="00CB5474" w:rsidRPr="007B4266">
        <w:t>4.30</w:t>
      </w:r>
      <w:r w:rsidR="00CB5474" w:rsidRPr="007B4266">
        <w:rPr>
          <w:rFonts w:hint="eastAsia"/>
        </w:rPr>
        <w:t> </w:t>
      </w:r>
      <w:r w:rsidR="0039213D" w:rsidRPr="007B4266">
        <w:t>pm</w:t>
      </w:r>
      <w:r w:rsidR="00CB5474" w:rsidRPr="007B4266">
        <w:t xml:space="preserve">. </w:t>
      </w:r>
      <w:r w:rsidR="007B4266" w:rsidRPr="00313AF0">
        <w:t>Although the flows out of Tasmania reduced, t</w:t>
      </w:r>
      <w:r w:rsidR="00CB5474" w:rsidRPr="007B4266">
        <w:t xml:space="preserve">his </w:t>
      </w:r>
      <w:r w:rsidR="007B4266" w:rsidRPr="00313AF0">
        <w:t xml:space="preserve">saw </w:t>
      </w:r>
      <w:r w:rsidR="00CB5474" w:rsidRPr="007B4266">
        <w:t>the 5 minute</w:t>
      </w:r>
      <w:r w:rsidR="00A15D1A" w:rsidRPr="007B4266">
        <w:t xml:space="preserve"> price reach the price cap at 4.30</w:t>
      </w:r>
      <w:r w:rsidR="00A15D1A" w:rsidRPr="007B4266">
        <w:rPr>
          <w:rFonts w:hint="eastAsia"/>
        </w:rPr>
        <w:t> </w:t>
      </w:r>
      <w:r w:rsidR="00A15D1A" w:rsidRPr="007B4266">
        <w:t>pm and stay above $400/MWh until 4.45</w:t>
      </w:r>
      <w:r w:rsidR="00A15D1A" w:rsidRPr="007B4266">
        <w:rPr>
          <w:rFonts w:hint="eastAsia"/>
        </w:rPr>
        <w:t> </w:t>
      </w:r>
      <w:r w:rsidR="00A15D1A" w:rsidRPr="007B4266">
        <w:t>pm.</w:t>
      </w:r>
    </w:p>
    <w:p w:rsidR="00E72C3B" w:rsidRPr="00CB5474" w:rsidRDefault="00E32074" w:rsidP="00C80981">
      <w:pPr>
        <w:pStyle w:val="AERbodytext"/>
      </w:pPr>
      <w:r w:rsidRPr="00CB5474">
        <w:t>There was</w:t>
      </w:r>
      <w:r w:rsidR="00F70A15" w:rsidRPr="00CB5474">
        <w:t xml:space="preserve"> no other significant rebidding. </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w:t>
      </w:r>
      <w:r w:rsidR="00FC03A2">
        <w:t>4</w:t>
      </w:r>
      <w:r w:rsidRPr="0030575B">
        <w:t xml:space="preserve"> 2013 – Q</w:t>
      </w:r>
      <w:r w:rsidR="00FC03A2">
        <w:t>3</w:t>
      </w:r>
      <w:r w:rsidRPr="0030575B">
        <w:t xml:space="preserve"> 2017</w:t>
      </w:r>
    </w:p>
    <w:p w:rsidR="00942195" w:rsidRDefault="005F7260" w:rsidP="00942195">
      <w:pPr>
        <w:pStyle w:val="AERbodytext"/>
        <w:keepNext/>
      </w:pPr>
      <w:r>
        <w:pict>
          <v:shape id="_x0000_i1033" type="#_x0000_t75" alt="Figure 8 shows for all mainland regions the prices for base contracts (and total traded quantities for the week) for each quarter for the next four financial years." style="width:451.5pt;height:225pt">
            <v:imagedata r:id="rId17" o:title=""/>
          </v:shape>
        </w:pict>
      </w:r>
    </w:p>
    <w:p w:rsidR="00E96C5A" w:rsidRPr="008245F0" w:rsidRDefault="00E96C5A" w:rsidP="00170E47">
      <w:pPr>
        <w:pStyle w:val="Sourceandnotes"/>
        <w:ind w:left="0" w:firstLine="0"/>
      </w:pPr>
      <w:r w:rsidRPr="008245F0">
        <w:t xml:space="preserve">Source: </w:t>
      </w:r>
      <w:hyperlink r:id="rId18"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942195" w:rsidRDefault="005F7260"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75pt;height:225pt">
            <v:imagedata r:id="rId19"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0"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1" w:history="1">
        <w:r w:rsidR="007B4266">
          <w:rPr>
            <w:rStyle w:val="Hyperlink"/>
          </w:rPr>
          <w:t>Industry Statistics</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5F7260"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5pt;height:225pt">
            <v:imagedata r:id="rId22" o:title=""/>
          </v:shape>
        </w:pict>
      </w:r>
    </w:p>
    <w:p w:rsidR="00E96C5A" w:rsidRPr="00130EA0" w:rsidRDefault="00E96C5A" w:rsidP="00170E47">
      <w:pPr>
        <w:pStyle w:val="Sourceandnotes"/>
        <w:spacing w:after="120"/>
      </w:pPr>
      <w:r w:rsidRPr="005543BA">
        <w:t>Source</w:t>
      </w:r>
      <w:r>
        <w:t xml:space="preserve">: </w:t>
      </w:r>
      <w:hyperlink r:id="rId23"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2255A3" w:rsidP="003157C3">
      <w:r>
        <w:rPr>
          <w:b/>
        </w:rPr>
        <w:t>December</w:t>
      </w:r>
      <w:bookmarkStart w:id="9" w:name="_GoBack"/>
      <w:bookmarkEnd w:id="9"/>
      <w:r w:rsidR="00765707">
        <w:rPr>
          <w:b/>
        </w:rPr>
        <w:t xml:space="preserve"> </w:t>
      </w:r>
      <w:r w:rsidR="00E96C5A" w:rsidRPr="005F739F">
        <w:rPr>
          <w:b/>
        </w:rPr>
        <w:t>201</w:t>
      </w:r>
      <w:r w:rsidR="00E96C5A">
        <w:rPr>
          <w:b/>
        </w:rPr>
        <w:t>3</w:t>
      </w:r>
    </w:p>
    <w:sectPr w:rsidR="00E96C5A"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66" w:rsidRDefault="007B4266" w:rsidP="00BB640B">
      <w:r>
        <w:separator/>
      </w:r>
    </w:p>
    <w:p w:rsidR="007B4266" w:rsidRDefault="007B4266"/>
    <w:p w:rsidR="007B4266" w:rsidRDefault="007B4266"/>
  </w:endnote>
  <w:endnote w:type="continuationSeparator" w:id="0">
    <w:p w:rsidR="007B4266" w:rsidRDefault="007B4266" w:rsidP="00BB640B">
      <w:r>
        <w:continuationSeparator/>
      </w:r>
    </w:p>
    <w:p w:rsidR="007B4266" w:rsidRDefault="007B4266"/>
    <w:p w:rsidR="007B4266" w:rsidRDefault="007B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66" w:rsidRPr="00474107" w:rsidRDefault="007B4266"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8F0591">
      <w:rPr>
        <w:rStyle w:val="PageNumber"/>
        <w:noProof/>
      </w:rPr>
      <w:t>9</w:t>
    </w:r>
    <w:r>
      <w:rPr>
        <w:rStyle w:val="PageNumber"/>
      </w:rPr>
      <w:fldChar w:fldCharType="end"/>
    </w:r>
  </w:p>
  <w:p w:rsidR="007B4266" w:rsidRPr="0097256D" w:rsidRDefault="007B4266"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66" w:rsidRPr="00643F62" w:rsidRDefault="007B4266"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D13/166074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66" w:rsidRDefault="007B4266" w:rsidP="00BB640B">
      <w:r>
        <w:separator/>
      </w:r>
    </w:p>
    <w:p w:rsidR="007B4266" w:rsidRPr="00DB6729" w:rsidRDefault="007B4266">
      <w:pPr>
        <w:rPr>
          <w:b/>
          <w:sz w:val="2"/>
        </w:rPr>
      </w:pPr>
    </w:p>
  </w:footnote>
  <w:footnote w:type="continuationSeparator" w:id="0">
    <w:p w:rsidR="007B4266" w:rsidRDefault="007B4266" w:rsidP="00BB640B">
      <w:r>
        <w:continuationSeparator/>
      </w:r>
    </w:p>
    <w:p w:rsidR="007B4266" w:rsidRDefault="007B42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133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1117-20131123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28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7AE"/>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4EB"/>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5A3"/>
    <w:rsid w:val="00225B19"/>
    <w:rsid w:val="0022604D"/>
    <w:rsid w:val="0022689C"/>
    <w:rsid w:val="00226947"/>
    <w:rsid w:val="00226C19"/>
    <w:rsid w:val="002275FE"/>
    <w:rsid w:val="0022767B"/>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570"/>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0DE"/>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AF0"/>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13D"/>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0E8"/>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539"/>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0EBB"/>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5E48"/>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416"/>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160"/>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B9C"/>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3D18"/>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26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4BE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0A95"/>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66"/>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54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52"/>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011"/>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91"/>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5F5A"/>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5D1A"/>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469"/>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52D"/>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160E"/>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C35"/>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54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29F"/>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12E"/>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474"/>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33E"/>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C4D"/>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825"/>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099"/>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86"/>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3A2"/>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2013-12-02T00:00:00Z</dcterms:created>
  <dcterms:modified xsi:type="dcterms:W3CDTF">2013-12-02T00:02:00Z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8099704</vt:lpwstr>
  </property>
</Properties>
</file>