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0661B8"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0661B8" w:rsidRDefault="000661B8">
                  <w:pPr>
                    <w:pStyle w:val="Title"/>
                    <w:jc w:val="left"/>
                  </w:pPr>
                  <w:r w:rsidRPr="00F50D3A">
                    <w:t>Electricity</w:t>
                  </w:r>
                  <w:r>
                    <w:t xml:space="preserve"> Report</w:t>
                  </w:r>
                </w:p>
                <w:p w:rsidR="000661B8" w:rsidRPr="00FF06A1" w:rsidRDefault="000661B8">
                  <w:pPr>
                    <w:pStyle w:val="Title"/>
                    <w:jc w:val="left"/>
                  </w:pPr>
                  <w:r>
                    <w:t>10 to 16 November 2013</w:t>
                  </w:r>
                </w:p>
                <w:p w:rsidR="000661B8" w:rsidRDefault="000661B8">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3pt;height:99.0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Pr="002D23B9" w:rsidRDefault="000E1281" w:rsidP="002F6FF5">
      <w:pPr>
        <w:rPr>
          <w:lang w:eastAsia="en-US"/>
        </w:rPr>
      </w:pPr>
    </w:p>
    <w:p w:rsidR="00F83806" w:rsidRPr="002D23B9" w:rsidRDefault="00F50D3A" w:rsidP="00BF51AE">
      <w:pPr>
        <w:pStyle w:val="Heading2"/>
        <w:rPr>
          <w:color w:val="auto"/>
        </w:rPr>
      </w:pPr>
      <w:r w:rsidRPr="002D23B9">
        <w:rPr>
          <w:color w:val="auto"/>
        </w:rPr>
        <w:t>S</w:t>
      </w:r>
      <w:r w:rsidR="00687B08" w:rsidRPr="002D23B9">
        <w:rPr>
          <w:color w:val="auto"/>
        </w:rPr>
        <w:t>pot market prices</w:t>
      </w:r>
    </w:p>
    <w:p w:rsidR="00687B08" w:rsidRPr="002D23B9" w:rsidRDefault="00687B08" w:rsidP="00F50D3A">
      <w:pPr>
        <w:pStyle w:val="AERbodytext"/>
      </w:pPr>
      <w:bookmarkStart w:id="6" w:name="OLE_LINK28"/>
      <w:bookmarkStart w:id="7" w:name="OLE_LINK29"/>
      <w:r w:rsidRPr="002D23B9">
        <w:t xml:space="preserve">Figure 1 </w:t>
      </w:r>
      <w:proofErr w:type="gramStart"/>
      <w:r w:rsidR="00953237" w:rsidRPr="002D23B9">
        <w:t>shows</w:t>
      </w:r>
      <w:proofErr w:type="gramEnd"/>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8" w:name="_Ref307219594"/>
      <w:r w:rsidRPr="002D23B9">
        <w:t xml:space="preserve">Figure </w:t>
      </w:r>
      <w:bookmarkEnd w:id="8"/>
      <w:r w:rsidRPr="002D23B9">
        <w:t xml:space="preserve">1: </w:t>
      </w:r>
      <w:r w:rsidR="00656C5F" w:rsidRPr="002D23B9">
        <w:t>Volume weighted average spot price by region ($/MWh)</w:t>
      </w:r>
    </w:p>
    <w:p w:rsidR="00785F23" w:rsidRPr="002D23B9" w:rsidRDefault="000661B8" w:rsidP="00785F23">
      <w:pPr>
        <w:pStyle w:val="AERbodytext"/>
      </w:pPr>
      <w:r w:rsidRPr="000661B8">
        <w:pict>
          <v:shape id="_x0000_i1037" type="#_x0000_t75" alt="Figure 1 shows the volume weighted average (VWA) prices for this week (with prices shown in Table 1) and the preceding 12 weeks, as well as the VWA price over the previous 3 financial years.    &#10;" style="width:451pt;height:225.8pt">
            <v:imagedata r:id="rId9" o:title=""/>
          </v:shape>
        </w:pict>
      </w:r>
    </w:p>
    <w:p w:rsidR="00965EA9" w:rsidRPr="002D23B9" w:rsidRDefault="00965EA9" w:rsidP="00965EA9">
      <w:pPr>
        <w:pStyle w:val="AERtabletitle"/>
      </w:pPr>
      <w:r w:rsidRPr="002D23B9">
        <w:t xml:space="preserve">Table 1: </w:t>
      </w:r>
      <w:r w:rsidR="008B0A6A" w:rsidRPr="002D23B9">
        <w:t xml:space="preserve">Volume weighted </w:t>
      </w:r>
      <w:r w:rsidRPr="002D23B9">
        <w:t>average spot price</w:t>
      </w:r>
      <w:r w:rsidR="00525D52" w:rsidRPr="002D23B9">
        <w:t>s</w:t>
      </w:r>
      <w:r w:rsidRPr="002D23B9">
        <w:t xml:space="preserve"> by region</w:t>
      </w:r>
      <w:r w:rsidR="008B0A6A" w:rsidRPr="002D23B9">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BF73FF" w:rsidRPr="002D23B9" w:rsidTr="00396360">
        <w:trPr>
          <w:trHeight w:hRule="exact" w:val="454"/>
        </w:trPr>
        <w:tc>
          <w:tcPr>
            <w:tcW w:w="1809" w:type="dxa"/>
            <w:tcBorders>
              <w:bottom w:val="nil"/>
            </w:tcBorders>
            <w:shd w:val="clear" w:color="auto" w:fill="4A442A" w:themeFill="background2" w:themeFillShade="40"/>
            <w:noWrap/>
            <w:vAlign w:val="center"/>
          </w:tcPr>
          <w:p w:rsidR="00BF73FF" w:rsidRPr="007649EE" w:rsidRDefault="00BF73FF" w:rsidP="00396360">
            <w:pPr>
              <w:jc w:val="left"/>
            </w:pPr>
            <w:r w:rsidRPr="007649EE">
              <w:t>Region</w:t>
            </w:r>
          </w:p>
        </w:tc>
        <w:tc>
          <w:tcPr>
            <w:tcW w:w="1276" w:type="dxa"/>
            <w:tcBorders>
              <w:bottom w:val="nil"/>
            </w:tcBorders>
            <w:shd w:val="clear" w:color="auto" w:fill="4A442A" w:themeFill="background2" w:themeFillShade="40"/>
            <w:noWrap/>
            <w:vAlign w:val="center"/>
          </w:tcPr>
          <w:p w:rsidR="00BF73FF" w:rsidRPr="007649EE" w:rsidRDefault="00BF73FF" w:rsidP="00396360">
            <w:pPr>
              <w:jc w:val="center"/>
            </w:pPr>
            <w:r w:rsidRPr="007649EE">
              <w:t>Qld</w:t>
            </w:r>
          </w:p>
        </w:tc>
        <w:tc>
          <w:tcPr>
            <w:tcW w:w="1275" w:type="dxa"/>
            <w:tcBorders>
              <w:bottom w:val="nil"/>
            </w:tcBorders>
            <w:shd w:val="clear" w:color="auto" w:fill="4A442A" w:themeFill="background2" w:themeFillShade="40"/>
            <w:noWrap/>
            <w:vAlign w:val="center"/>
          </w:tcPr>
          <w:p w:rsidR="00BF73FF" w:rsidRPr="007649EE" w:rsidRDefault="00BF73FF" w:rsidP="00396360">
            <w:pPr>
              <w:jc w:val="center"/>
            </w:pPr>
            <w:r w:rsidRPr="007649EE">
              <w:t>NSW</w:t>
            </w:r>
          </w:p>
        </w:tc>
        <w:tc>
          <w:tcPr>
            <w:tcW w:w="1276" w:type="dxa"/>
            <w:tcBorders>
              <w:bottom w:val="nil"/>
            </w:tcBorders>
            <w:shd w:val="clear" w:color="auto" w:fill="4A442A" w:themeFill="background2" w:themeFillShade="40"/>
            <w:vAlign w:val="center"/>
          </w:tcPr>
          <w:p w:rsidR="00BF73FF" w:rsidRPr="007649EE" w:rsidRDefault="00BF73FF" w:rsidP="00396360">
            <w:pPr>
              <w:jc w:val="center"/>
            </w:pPr>
            <w:r w:rsidRPr="007649EE">
              <w:t>Vic</w:t>
            </w:r>
          </w:p>
        </w:tc>
        <w:tc>
          <w:tcPr>
            <w:tcW w:w="1134" w:type="dxa"/>
            <w:tcBorders>
              <w:bottom w:val="nil"/>
            </w:tcBorders>
            <w:shd w:val="clear" w:color="auto" w:fill="4A442A" w:themeFill="background2" w:themeFillShade="40"/>
            <w:noWrap/>
            <w:vAlign w:val="center"/>
          </w:tcPr>
          <w:p w:rsidR="00BF73FF" w:rsidRPr="007649EE" w:rsidRDefault="00BF73FF" w:rsidP="00396360">
            <w:pPr>
              <w:jc w:val="center"/>
            </w:pPr>
            <w:r w:rsidRPr="007649EE">
              <w:t>SA</w:t>
            </w:r>
          </w:p>
        </w:tc>
        <w:tc>
          <w:tcPr>
            <w:tcW w:w="1275" w:type="dxa"/>
            <w:tcBorders>
              <w:bottom w:val="nil"/>
            </w:tcBorders>
            <w:shd w:val="clear" w:color="auto" w:fill="4A442A" w:themeFill="background2" w:themeFillShade="40"/>
            <w:vAlign w:val="center"/>
          </w:tcPr>
          <w:p w:rsidR="00BF73FF" w:rsidRPr="007649EE" w:rsidRDefault="00BF73FF" w:rsidP="00396360">
            <w:pPr>
              <w:jc w:val="center"/>
            </w:pPr>
            <w:proofErr w:type="spellStart"/>
            <w:r w:rsidRPr="007649EE">
              <w:t>Tas</w:t>
            </w:r>
            <w:proofErr w:type="spellEnd"/>
          </w:p>
        </w:tc>
      </w:tr>
      <w:tr w:rsidR="00BF73FF" w:rsidRPr="002D23B9" w:rsidTr="00396360">
        <w:trPr>
          <w:trHeight w:hRule="exact" w:val="454"/>
        </w:trPr>
        <w:tc>
          <w:tcPr>
            <w:tcW w:w="1809" w:type="dxa"/>
            <w:tcBorders>
              <w:top w:val="nil"/>
              <w:bottom w:val="nil"/>
            </w:tcBorders>
            <w:shd w:val="clear" w:color="auto" w:fill="DDD9C3" w:themeFill="background2" w:themeFillShade="E6"/>
            <w:noWrap/>
            <w:vAlign w:val="center"/>
          </w:tcPr>
          <w:p w:rsidR="00BF73FF" w:rsidRPr="007649EE" w:rsidRDefault="00BF73FF" w:rsidP="00396360">
            <w:pPr>
              <w:jc w:val="left"/>
            </w:pPr>
            <w:r w:rsidRPr="007649EE">
              <w:t>Current week</w:t>
            </w:r>
          </w:p>
        </w:tc>
        <w:tc>
          <w:tcPr>
            <w:tcW w:w="1276" w:type="dxa"/>
            <w:tcBorders>
              <w:top w:val="nil"/>
              <w:bottom w:val="nil"/>
            </w:tcBorders>
            <w:shd w:val="clear" w:color="auto" w:fill="DDD9C3" w:themeFill="background2" w:themeFillShade="E6"/>
            <w:noWrap/>
            <w:vAlign w:val="center"/>
          </w:tcPr>
          <w:p w:rsidR="00BF73FF" w:rsidRPr="007649EE" w:rsidRDefault="00BF73FF" w:rsidP="00396360">
            <w:pPr>
              <w:jc w:val="center"/>
            </w:pPr>
            <w:r w:rsidRPr="007649EE">
              <w:t>54</w:t>
            </w:r>
          </w:p>
        </w:tc>
        <w:tc>
          <w:tcPr>
            <w:tcW w:w="1275" w:type="dxa"/>
            <w:tcBorders>
              <w:top w:val="nil"/>
              <w:bottom w:val="nil"/>
            </w:tcBorders>
            <w:shd w:val="clear" w:color="auto" w:fill="DDD9C3" w:themeFill="background2" w:themeFillShade="E6"/>
            <w:noWrap/>
            <w:vAlign w:val="center"/>
          </w:tcPr>
          <w:p w:rsidR="00BF73FF" w:rsidRPr="007649EE" w:rsidRDefault="00BF73FF" w:rsidP="00396360">
            <w:pPr>
              <w:jc w:val="center"/>
            </w:pPr>
            <w:r w:rsidRPr="007649EE">
              <w:t>50</w:t>
            </w:r>
          </w:p>
        </w:tc>
        <w:tc>
          <w:tcPr>
            <w:tcW w:w="1276" w:type="dxa"/>
            <w:tcBorders>
              <w:top w:val="nil"/>
              <w:bottom w:val="nil"/>
            </w:tcBorders>
            <w:shd w:val="clear" w:color="auto" w:fill="DDD9C3" w:themeFill="background2" w:themeFillShade="E6"/>
            <w:vAlign w:val="center"/>
          </w:tcPr>
          <w:p w:rsidR="00BF73FF" w:rsidRPr="007649EE" w:rsidRDefault="00BF73FF" w:rsidP="00396360">
            <w:pPr>
              <w:jc w:val="center"/>
            </w:pPr>
            <w:r w:rsidRPr="007649EE">
              <w:t>48</w:t>
            </w:r>
          </w:p>
        </w:tc>
        <w:tc>
          <w:tcPr>
            <w:tcW w:w="1134" w:type="dxa"/>
            <w:tcBorders>
              <w:top w:val="nil"/>
              <w:bottom w:val="nil"/>
            </w:tcBorders>
            <w:shd w:val="clear" w:color="auto" w:fill="DDD9C3" w:themeFill="background2" w:themeFillShade="E6"/>
            <w:noWrap/>
            <w:vAlign w:val="center"/>
          </w:tcPr>
          <w:p w:rsidR="00BF73FF" w:rsidRPr="007649EE" w:rsidRDefault="00BF73FF" w:rsidP="00396360">
            <w:pPr>
              <w:jc w:val="center"/>
            </w:pPr>
            <w:r w:rsidRPr="007649EE">
              <w:t>50</w:t>
            </w:r>
          </w:p>
        </w:tc>
        <w:tc>
          <w:tcPr>
            <w:tcW w:w="1275" w:type="dxa"/>
            <w:tcBorders>
              <w:top w:val="nil"/>
              <w:bottom w:val="nil"/>
            </w:tcBorders>
            <w:shd w:val="clear" w:color="auto" w:fill="DDD9C3" w:themeFill="background2" w:themeFillShade="E6"/>
            <w:vAlign w:val="center"/>
          </w:tcPr>
          <w:p w:rsidR="00BF73FF" w:rsidRPr="007649EE" w:rsidRDefault="00BF73FF" w:rsidP="00396360">
            <w:pPr>
              <w:jc w:val="center"/>
            </w:pPr>
            <w:r w:rsidRPr="007649EE">
              <w:t>43</w:t>
            </w:r>
          </w:p>
        </w:tc>
      </w:tr>
      <w:tr w:rsidR="00BF73FF" w:rsidRPr="002D23B9" w:rsidTr="00396360">
        <w:trPr>
          <w:trHeight w:hRule="exact" w:val="454"/>
        </w:trPr>
        <w:tc>
          <w:tcPr>
            <w:tcW w:w="1809" w:type="dxa"/>
            <w:tcBorders>
              <w:top w:val="nil"/>
              <w:bottom w:val="nil"/>
            </w:tcBorders>
            <w:shd w:val="clear" w:color="auto" w:fill="EEECE1" w:themeFill="background2"/>
            <w:noWrap/>
            <w:vAlign w:val="center"/>
          </w:tcPr>
          <w:p w:rsidR="00BF73FF" w:rsidRPr="00BF73FF" w:rsidRDefault="00BF73FF" w:rsidP="00396360">
            <w:pPr>
              <w:jc w:val="left"/>
              <w:rPr>
                <w:sz w:val="18"/>
                <w:szCs w:val="18"/>
              </w:rPr>
            </w:pPr>
            <w:r w:rsidRPr="00BF73FF">
              <w:rPr>
                <w:sz w:val="18"/>
                <w:szCs w:val="18"/>
              </w:rPr>
              <w:t>12-13 financial YTD</w:t>
            </w:r>
          </w:p>
        </w:tc>
        <w:tc>
          <w:tcPr>
            <w:tcW w:w="1276" w:type="dxa"/>
            <w:tcBorders>
              <w:top w:val="nil"/>
              <w:bottom w:val="nil"/>
            </w:tcBorders>
            <w:shd w:val="clear" w:color="auto" w:fill="EEECE1" w:themeFill="background2"/>
            <w:noWrap/>
            <w:vAlign w:val="center"/>
          </w:tcPr>
          <w:p w:rsidR="00BF73FF" w:rsidRPr="007649EE" w:rsidRDefault="00BF73FF" w:rsidP="00396360">
            <w:pPr>
              <w:jc w:val="center"/>
            </w:pPr>
            <w:r w:rsidRPr="007649EE">
              <w:t>56</w:t>
            </w:r>
          </w:p>
        </w:tc>
        <w:tc>
          <w:tcPr>
            <w:tcW w:w="1275" w:type="dxa"/>
            <w:tcBorders>
              <w:top w:val="nil"/>
              <w:bottom w:val="nil"/>
            </w:tcBorders>
            <w:shd w:val="clear" w:color="auto" w:fill="EEECE1" w:themeFill="background2"/>
            <w:noWrap/>
            <w:vAlign w:val="center"/>
          </w:tcPr>
          <w:p w:rsidR="00BF73FF" w:rsidRPr="007649EE" w:rsidRDefault="00BF73FF" w:rsidP="00396360">
            <w:pPr>
              <w:jc w:val="center"/>
            </w:pPr>
            <w:r w:rsidRPr="007649EE">
              <w:t>59</w:t>
            </w:r>
          </w:p>
        </w:tc>
        <w:tc>
          <w:tcPr>
            <w:tcW w:w="1276" w:type="dxa"/>
            <w:tcBorders>
              <w:top w:val="nil"/>
              <w:bottom w:val="nil"/>
            </w:tcBorders>
            <w:shd w:val="clear" w:color="auto" w:fill="EEECE1" w:themeFill="background2"/>
            <w:vAlign w:val="center"/>
          </w:tcPr>
          <w:p w:rsidR="00BF73FF" w:rsidRPr="007649EE" w:rsidRDefault="00BF73FF" w:rsidP="00396360">
            <w:pPr>
              <w:jc w:val="center"/>
            </w:pPr>
            <w:r w:rsidRPr="007649EE">
              <w:t>59</w:t>
            </w:r>
          </w:p>
        </w:tc>
        <w:tc>
          <w:tcPr>
            <w:tcW w:w="1134" w:type="dxa"/>
            <w:tcBorders>
              <w:top w:val="nil"/>
              <w:bottom w:val="nil"/>
            </w:tcBorders>
            <w:shd w:val="clear" w:color="auto" w:fill="EEECE1" w:themeFill="background2"/>
            <w:noWrap/>
            <w:vAlign w:val="center"/>
          </w:tcPr>
          <w:p w:rsidR="00BF73FF" w:rsidRPr="007649EE" w:rsidRDefault="00BF73FF" w:rsidP="00396360">
            <w:pPr>
              <w:jc w:val="center"/>
            </w:pPr>
            <w:r w:rsidRPr="007649EE">
              <w:t>63</w:t>
            </w:r>
          </w:p>
        </w:tc>
        <w:tc>
          <w:tcPr>
            <w:tcW w:w="1275" w:type="dxa"/>
            <w:tcBorders>
              <w:top w:val="nil"/>
              <w:bottom w:val="nil"/>
            </w:tcBorders>
            <w:shd w:val="clear" w:color="auto" w:fill="EEECE1" w:themeFill="background2"/>
            <w:vAlign w:val="center"/>
          </w:tcPr>
          <w:p w:rsidR="00BF73FF" w:rsidRPr="007649EE" w:rsidRDefault="00BF73FF" w:rsidP="00396360">
            <w:pPr>
              <w:jc w:val="center"/>
            </w:pPr>
            <w:r w:rsidRPr="007649EE">
              <w:t>48</w:t>
            </w:r>
          </w:p>
        </w:tc>
      </w:tr>
      <w:tr w:rsidR="00BF73FF" w:rsidRPr="002D23B9" w:rsidTr="00396360">
        <w:trPr>
          <w:trHeight w:hRule="exact" w:val="454"/>
        </w:trPr>
        <w:tc>
          <w:tcPr>
            <w:tcW w:w="1809" w:type="dxa"/>
            <w:tcBorders>
              <w:top w:val="nil"/>
              <w:bottom w:val="single" w:sz="4" w:space="0" w:color="auto"/>
            </w:tcBorders>
            <w:shd w:val="clear" w:color="auto" w:fill="DDD9C3" w:themeFill="background2" w:themeFillShade="E6"/>
            <w:noWrap/>
            <w:vAlign w:val="center"/>
          </w:tcPr>
          <w:p w:rsidR="00BF73FF" w:rsidRPr="00BF73FF" w:rsidRDefault="00BF73FF" w:rsidP="00396360">
            <w:pPr>
              <w:jc w:val="left"/>
              <w:rPr>
                <w:sz w:val="18"/>
                <w:szCs w:val="18"/>
              </w:rPr>
            </w:pPr>
            <w:r w:rsidRPr="00BF73FF">
              <w:rPr>
                <w:sz w:val="18"/>
                <w:szCs w:val="18"/>
              </w:rPr>
              <w:t>13-14 financial YTD</w:t>
            </w:r>
          </w:p>
        </w:tc>
        <w:tc>
          <w:tcPr>
            <w:tcW w:w="1276" w:type="dxa"/>
            <w:tcBorders>
              <w:top w:val="nil"/>
              <w:bottom w:val="single" w:sz="4" w:space="0" w:color="auto"/>
            </w:tcBorders>
            <w:shd w:val="clear" w:color="auto" w:fill="DDD9C3" w:themeFill="background2" w:themeFillShade="E6"/>
            <w:noWrap/>
            <w:vAlign w:val="center"/>
          </w:tcPr>
          <w:p w:rsidR="00BF73FF" w:rsidRPr="007649EE" w:rsidRDefault="00BF73FF" w:rsidP="00396360">
            <w:pPr>
              <w:jc w:val="center"/>
            </w:pPr>
            <w:r w:rsidRPr="007649EE">
              <w:t>60</w:t>
            </w:r>
          </w:p>
        </w:tc>
        <w:tc>
          <w:tcPr>
            <w:tcW w:w="1275" w:type="dxa"/>
            <w:tcBorders>
              <w:top w:val="nil"/>
              <w:bottom w:val="single" w:sz="4" w:space="0" w:color="auto"/>
            </w:tcBorders>
            <w:shd w:val="clear" w:color="auto" w:fill="DDD9C3" w:themeFill="background2" w:themeFillShade="E6"/>
            <w:noWrap/>
            <w:vAlign w:val="center"/>
          </w:tcPr>
          <w:p w:rsidR="00BF73FF" w:rsidRPr="007649EE" w:rsidRDefault="00BF73FF" w:rsidP="00396360">
            <w:pPr>
              <w:jc w:val="center"/>
            </w:pPr>
            <w:r w:rsidRPr="007649EE">
              <w:t>54</w:t>
            </w:r>
          </w:p>
        </w:tc>
        <w:tc>
          <w:tcPr>
            <w:tcW w:w="1276" w:type="dxa"/>
            <w:tcBorders>
              <w:top w:val="nil"/>
              <w:bottom w:val="single" w:sz="4" w:space="0" w:color="auto"/>
            </w:tcBorders>
            <w:shd w:val="clear" w:color="auto" w:fill="DDD9C3" w:themeFill="background2" w:themeFillShade="E6"/>
            <w:vAlign w:val="center"/>
          </w:tcPr>
          <w:p w:rsidR="00BF73FF" w:rsidRPr="007649EE" w:rsidRDefault="00BF73FF" w:rsidP="00396360">
            <w:pPr>
              <w:jc w:val="center"/>
            </w:pPr>
            <w:r w:rsidRPr="007649EE">
              <w:t>53</w:t>
            </w:r>
          </w:p>
        </w:tc>
        <w:tc>
          <w:tcPr>
            <w:tcW w:w="1134" w:type="dxa"/>
            <w:tcBorders>
              <w:top w:val="nil"/>
              <w:bottom w:val="single" w:sz="4" w:space="0" w:color="auto"/>
            </w:tcBorders>
            <w:shd w:val="clear" w:color="auto" w:fill="DDD9C3" w:themeFill="background2" w:themeFillShade="E6"/>
            <w:noWrap/>
            <w:vAlign w:val="center"/>
          </w:tcPr>
          <w:p w:rsidR="00BF73FF" w:rsidRPr="007649EE" w:rsidRDefault="00BF73FF" w:rsidP="00396360">
            <w:pPr>
              <w:jc w:val="center"/>
            </w:pPr>
            <w:r w:rsidRPr="007649EE">
              <w:t>65</w:t>
            </w:r>
          </w:p>
        </w:tc>
        <w:tc>
          <w:tcPr>
            <w:tcW w:w="1275" w:type="dxa"/>
            <w:tcBorders>
              <w:top w:val="nil"/>
              <w:bottom w:val="single" w:sz="4" w:space="0" w:color="auto"/>
            </w:tcBorders>
            <w:shd w:val="clear" w:color="auto" w:fill="DDD9C3" w:themeFill="background2" w:themeFillShade="E6"/>
            <w:vAlign w:val="center"/>
          </w:tcPr>
          <w:p w:rsidR="00BF73FF" w:rsidRDefault="00BF73FF" w:rsidP="00396360">
            <w:pPr>
              <w:jc w:val="center"/>
            </w:pPr>
            <w:r w:rsidRPr="007649EE">
              <w:t>45</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0"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lastRenderedPageBreak/>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F618E2" w:rsidP="00F618E2">
      <w:pPr>
        <w:pStyle w:val="AERbodytext"/>
      </w:pPr>
      <w:r w:rsidRPr="002D23B9">
        <w:t xml:space="preserve">There were </w:t>
      </w:r>
      <w:r w:rsidR="00BF73FF">
        <w:t>25</w:t>
      </w:r>
      <w:r w:rsidR="007A5743" w:rsidRPr="002D23B9">
        <w:t xml:space="preserve"> </w:t>
      </w:r>
      <w:r w:rsidRPr="002D23B9">
        <w:t>trading intervals throughout the week where actual prices varied significantly from forecasts. This compares to the weekly average in 2012 of 60 counts and the average in 2011 of 78</w:t>
      </w:r>
      <w:r w:rsidR="009559D6" w:rsidRPr="002D23B9">
        <w:t>. 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410"/>
        <w:gridCol w:w="1559"/>
        <w:gridCol w:w="1559"/>
        <w:gridCol w:w="1559"/>
        <w:gridCol w:w="1560"/>
      </w:tblGrid>
      <w:tr w:rsidR="00BF73FF" w:rsidRPr="002D23B9" w:rsidTr="00396360">
        <w:trPr>
          <w:trHeight w:hRule="exact" w:val="454"/>
        </w:trPr>
        <w:tc>
          <w:tcPr>
            <w:tcW w:w="2410" w:type="dxa"/>
            <w:shd w:val="clear" w:color="auto" w:fill="4A442A" w:themeFill="background2" w:themeFillShade="40"/>
            <w:noWrap/>
          </w:tcPr>
          <w:p w:rsidR="00BF73FF" w:rsidRPr="00527CE1" w:rsidRDefault="00BF73FF" w:rsidP="00BF73FF"/>
        </w:tc>
        <w:tc>
          <w:tcPr>
            <w:tcW w:w="1559" w:type="dxa"/>
            <w:shd w:val="clear" w:color="auto" w:fill="4A442A" w:themeFill="background2" w:themeFillShade="40"/>
            <w:noWrap/>
            <w:vAlign w:val="center"/>
          </w:tcPr>
          <w:p w:rsidR="00BF73FF" w:rsidRPr="00527CE1" w:rsidRDefault="00BF73FF" w:rsidP="00396360">
            <w:pPr>
              <w:jc w:val="center"/>
            </w:pPr>
            <w:r w:rsidRPr="00527CE1">
              <w:t>Availability</w:t>
            </w:r>
          </w:p>
        </w:tc>
        <w:tc>
          <w:tcPr>
            <w:tcW w:w="1559" w:type="dxa"/>
            <w:shd w:val="clear" w:color="auto" w:fill="4A442A" w:themeFill="background2" w:themeFillShade="40"/>
            <w:noWrap/>
            <w:vAlign w:val="center"/>
          </w:tcPr>
          <w:p w:rsidR="00BF73FF" w:rsidRPr="00527CE1" w:rsidRDefault="00BF73FF" w:rsidP="00396360">
            <w:pPr>
              <w:jc w:val="center"/>
            </w:pPr>
            <w:r w:rsidRPr="00527CE1">
              <w:t>Demand</w:t>
            </w:r>
          </w:p>
        </w:tc>
        <w:tc>
          <w:tcPr>
            <w:tcW w:w="1559" w:type="dxa"/>
            <w:shd w:val="clear" w:color="auto" w:fill="4A442A" w:themeFill="background2" w:themeFillShade="40"/>
            <w:noWrap/>
            <w:vAlign w:val="center"/>
          </w:tcPr>
          <w:p w:rsidR="00BF73FF" w:rsidRPr="00527CE1" w:rsidRDefault="00BF73FF" w:rsidP="00396360">
            <w:pPr>
              <w:jc w:val="center"/>
            </w:pPr>
            <w:r w:rsidRPr="00527CE1">
              <w:t>Network</w:t>
            </w:r>
          </w:p>
        </w:tc>
        <w:tc>
          <w:tcPr>
            <w:tcW w:w="1560" w:type="dxa"/>
            <w:shd w:val="clear" w:color="auto" w:fill="4A442A" w:themeFill="background2" w:themeFillShade="40"/>
            <w:vAlign w:val="center"/>
          </w:tcPr>
          <w:p w:rsidR="00BF73FF" w:rsidRPr="00527CE1" w:rsidRDefault="00BF73FF" w:rsidP="00396360">
            <w:pPr>
              <w:jc w:val="center"/>
            </w:pPr>
            <w:r w:rsidRPr="00527CE1">
              <w:t>Combination</w:t>
            </w:r>
          </w:p>
        </w:tc>
      </w:tr>
      <w:tr w:rsidR="00BF73FF" w:rsidRPr="002D23B9" w:rsidTr="00396360">
        <w:trPr>
          <w:trHeight w:hRule="exact" w:val="454"/>
        </w:trPr>
        <w:tc>
          <w:tcPr>
            <w:tcW w:w="2410" w:type="dxa"/>
            <w:tcBorders>
              <w:bottom w:val="nil"/>
            </w:tcBorders>
            <w:shd w:val="clear" w:color="auto" w:fill="DDD9C3" w:themeFill="background2" w:themeFillShade="E6"/>
            <w:noWrap/>
            <w:vAlign w:val="center"/>
          </w:tcPr>
          <w:p w:rsidR="00BF73FF" w:rsidRPr="00BF73FF" w:rsidRDefault="00BF73FF" w:rsidP="00396360">
            <w:pPr>
              <w:jc w:val="left"/>
              <w:rPr>
                <w:sz w:val="18"/>
                <w:szCs w:val="18"/>
              </w:rPr>
            </w:pPr>
            <w:r w:rsidRPr="00BF73FF">
              <w:rPr>
                <w:sz w:val="18"/>
                <w:szCs w:val="18"/>
              </w:rPr>
              <w:t>% of total above forecast</w:t>
            </w:r>
          </w:p>
        </w:tc>
        <w:tc>
          <w:tcPr>
            <w:tcW w:w="1559" w:type="dxa"/>
            <w:tcBorders>
              <w:bottom w:val="nil"/>
            </w:tcBorders>
            <w:shd w:val="clear" w:color="auto" w:fill="DDD9C3" w:themeFill="background2" w:themeFillShade="E6"/>
            <w:noWrap/>
            <w:vAlign w:val="center"/>
          </w:tcPr>
          <w:p w:rsidR="00BF73FF" w:rsidRPr="00527CE1" w:rsidRDefault="00BF73FF" w:rsidP="00396360">
            <w:pPr>
              <w:jc w:val="center"/>
            </w:pPr>
            <w:r w:rsidRPr="00527CE1">
              <w:t>0</w:t>
            </w:r>
          </w:p>
        </w:tc>
        <w:tc>
          <w:tcPr>
            <w:tcW w:w="1559" w:type="dxa"/>
            <w:tcBorders>
              <w:bottom w:val="nil"/>
            </w:tcBorders>
            <w:shd w:val="clear" w:color="auto" w:fill="DDD9C3" w:themeFill="background2" w:themeFillShade="E6"/>
            <w:noWrap/>
            <w:vAlign w:val="center"/>
          </w:tcPr>
          <w:p w:rsidR="00BF73FF" w:rsidRPr="00527CE1" w:rsidRDefault="00BF73FF" w:rsidP="00396360">
            <w:pPr>
              <w:jc w:val="center"/>
            </w:pPr>
            <w:r w:rsidRPr="00527CE1">
              <w:t>44</w:t>
            </w:r>
          </w:p>
        </w:tc>
        <w:tc>
          <w:tcPr>
            <w:tcW w:w="1559" w:type="dxa"/>
            <w:tcBorders>
              <w:bottom w:val="nil"/>
            </w:tcBorders>
            <w:shd w:val="clear" w:color="auto" w:fill="DDD9C3" w:themeFill="background2" w:themeFillShade="E6"/>
            <w:noWrap/>
            <w:vAlign w:val="center"/>
          </w:tcPr>
          <w:p w:rsidR="00BF73FF" w:rsidRPr="00527CE1" w:rsidRDefault="00BF73FF" w:rsidP="00396360">
            <w:pPr>
              <w:jc w:val="center"/>
            </w:pPr>
            <w:r w:rsidRPr="00527CE1">
              <w:t>0</w:t>
            </w:r>
          </w:p>
        </w:tc>
        <w:tc>
          <w:tcPr>
            <w:tcW w:w="1560" w:type="dxa"/>
            <w:tcBorders>
              <w:bottom w:val="nil"/>
            </w:tcBorders>
            <w:shd w:val="clear" w:color="auto" w:fill="DDD9C3" w:themeFill="background2" w:themeFillShade="E6"/>
            <w:vAlign w:val="center"/>
          </w:tcPr>
          <w:p w:rsidR="00BF73FF" w:rsidRPr="00527CE1" w:rsidRDefault="00BF73FF" w:rsidP="00396360">
            <w:pPr>
              <w:jc w:val="center"/>
            </w:pPr>
            <w:r w:rsidRPr="00527CE1">
              <w:t>0</w:t>
            </w:r>
          </w:p>
        </w:tc>
      </w:tr>
      <w:tr w:rsidR="00BF73FF" w:rsidRPr="002D23B9" w:rsidTr="00396360">
        <w:trPr>
          <w:trHeight w:hRule="exact" w:val="454"/>
        </w:trPr>
        <w:tc>
          <w:tcPr>
            <w:tcW w:w="2410" w:type="dxa"/>
            <w:tcBorders>
              <w:top w:val="nil"/>
              <w:bottom w:val="single" w:sz="4" w:space="0" w:color="auto"/>
            </w:tcBorders>
            <w:shd w:val="clear" w:color="auto" w:fill="EEECE1" w:themeFill="background2"/>
            <w:noWrap/>
            <w:vAlign w:val="center"/>
          </w:tcPr>
          <w:p w:rsidR="00BF73FF" w:rsidRPr="00BF73FF" w:rsidRDefault="00BF73FF" w:rsidP="00396360">
            <w:pPr>
              <w:jc w:val="left"/>
              <w:rPr>
                <w:sz w:val="18"/>
                <w:szCs w:val="18"/>
              </w:rPr>
            </w:pPr>
            <w:r w:rsidRPr="00BF73FF">
              <w:rPr>
                <w:sz w:val="18"/>
                <w:szCs w:val="18"/>
              </w:rPr>
              <w:t>% of total below forecast</w:t>
            </w:r>
          </w:p>
        </w:tc>
        <w:tc>
          <w:tcPr>
            <w:tcW w:w="1559" w:type="dxa"/>
            <w:tcBorders>
              <w:top w:val="nil"/>
              <w:bottom w:val="single" w:sz="4" w:space="0" w:color="auto"/>
            </w:tcBorders>
            <w:shd w:val="clear" w:color="auto" w:fill="EEECE1" w:themeFill="background2"/>
            <w:noWrap/>
            <w:vAlign w:val="center"/>
          </w:tcPr>
          <w:p w:rsidR="00BF73FF" w:rsidRPr="00527CE1" w:rsidRDefault="00BF73FF" w:rsidP="00396360">
            <w:pPr>
              <w:jc w:val="center"/>
            </w:pPr>
            <w:r w:rsidRPr="00527CE1">
              <w:t>41</w:t>
            </w:r>
          </w:p>
        </w:tc>
        <w:tc>
          <w:tcPr>
            <w:tcW w:w="1559" w:type="dxa"/>
            <w:tcBorders>
              <w:top w:val="nil"/>
              <w:bottom w:val="single" w:sz="4" w:space="0" w:color="auto"/>
            </w:tcBorders>
            <w:shd w:val="clear" w:color="auto" w:fill="EEECE1" w:themeFill="background2"/>
            <w:noWrap/>
            <w:vAlign w:val="center"/>
          </w:tcPr>
          <w:p w:rsidR="00BF73FF" w:rsidRPr="00527CE1" w:rsidRDefault="00BF73FF" w:rsidP="00396360">
            <w:pPr>
              <w:jc w:val="center"/>
            </w:pPr>
            <w:r w:rsidRPr="00527CE1">
              <w:t>16</w:t>
            </w:r>
          </w:p>
        </w:tc>
        <w:tc>
          <w:tcPr>
            <w:tcW w:w="1559" w:type="dxa"/>
            <w:tcBorders>
              <w:top w:val="nil"/>
              <w:bottom w:val="single" w:sz="4" w:space="0" w:color="auto"/>
            </w:tcBorders>
            <w:shd w:val="clear" w:color="auto" w:fill="EEECE1" w:themeFill="background2"/>
            <w:noWrap/>
            <w:vAlign w:val="center"/>
          </w:tcPr>
          <w:p w:rsidR="00BF73FF" w:rsidRPr="00527CE1" w:rsidRDefault="00BF73FF" w:rsidP="00396360">
            <w:pPr>
              <w:jc w:val="center"/>
            </w:pPr>
            <w:r w:rsidRPr="00527CE1">
              <w:t>0</w:t>
            </w:r>
          </w:p>
        </w:tc>
        <w:tc>
          <w:tcPr>
            <w:tcW w:w="1560" w:type="dxa"/>
            <w:tcBorders>
              <w:top w:val="nil"/>
              <w:bottom w:val="single" w:sz="4" w:space="0" w:color="auto"/>
            </w:tcBorders>
            <w:shd w:val="clear" w:color="auto" w:fill="EEECE1" w:themeFill="background2"/>
            <w:vAlign w:val="center"/>
          </w:tcPr>
          <w:p w:rsidR="00BF73FF" w:rsidRPr="00527CE1" w:rsidRDefault="00BF73FF" w:rsidP="00396360">
            <w:pPr>
              <w:jc w:val="center"/>
            </w:pPr>
            <w:r w:rsidRPr="00527CE1">
              <w:t>0</w:t>
            </w:r>
          </w:p>
        </w:tc>
      </w:tr>
    </w:tbl>
    <w:p w:rsidR="00FF7110" w:rsidRPr="002D23B9" w:rsidRDefault="00FF7110" w:rsidP="00FF7110">
      <w:pPr>
        <w:pStyle w:val="AERbodytext"/>
        <w:spacing w:before="120" w:after="120"/>
        <w:rPr>
          <w:sz w:val="16"/>
          <w:szCs w:val="16"/>
        </w:rPr>
      </w:pPr>
      <w:r w:rsidRPr="002D23B9">
        <w:rPr>
          <w:sz w:val="16"/>
          <w:szCs w:val="16"/>
        </w:rPr>
        <w:t>Note: Due to rounding, the total may not be exactly 100 per cent</w:t>
      </w:r>
    </w:p>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Pr="002D23B9"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F4461C" w:rsidP="0064299A">
      <w:pPr>
        <w:pStyle w:val="Figureheading"/>
        <w:numPr>
          <w:ilvl w:val="0"/>
          <w:numId w:val="0"/>
        </w:numPr>
      </w:pPr>
      <w:r w:rsidRPr="002D23B9">
        <w:lastRenderedPageBreak/>
        <w:t>Figure 2: Queensland generation and bidding patterns</w:t>
      </w:r>
    </w:p>
    <w:p w:rsidR="00F4461C" w:rsidRPr="002D23B9" w:rsidRDefault="000661B8" w:rsidP="002652CD">
      <w:pPr>
        <w:pStyle w:val="AERbodytext"/>
      </w:pPr>
      <w:r w:rsidRPr="000661B8">
        <w:pict>
          <v:shape id="_x0000_i1040"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45pt;height:307.6pt">
            <v:imagedata r:id="rId11" o:title=""/>
          </v:shape>
        </w:pict>
      </w:r>
    </w:p>
    <w:p w:rsidR="00F4461C" w:rsidRPr="002D23B9" w:rsidRDefault="00F4461C" w:rsidP="00F4461C">
      <w:pPr>
        <w:pStyle w:val="Figureheading"/>
        <w:numPr>
          <w:ilvl w:val="0"/>
          <w:numId w:val="0"/>
        </w:numPr>
        <w:ind w:left="357" w:hanging="357"/>
      </w:pPr>
      <w:r w:rsidRPr="002D23B9">
        <w:t>Figure 3: New South Wales generation and bidding patterns</w:t>
      </w:r>
    </w:p>
    <w:p w:rsidR="002652CD" w:rsidRPr="002D23B9" w:rsidRDefault="000661B8" w:rsidP="002652CD">
      <w:pPr>
        <w:pStyle w:val="AERbodytext"/>
      </w:pPr>
      <w:r w:rsidRPr="000661B8">
        <w:pict>
          <v:shape id="_x0000_i1042" type="#_x0000_t75" alt="Figure 3 shows the total generation dispatched and the amounts of capacity bid in within certain price bands for each 30 minute trading interval in New South Australia this week.&#10;Should you require a description of the data for the week under review, please email us at AERInquiry@aer.gov.au." style="width:450.45pt;height:307.6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261A37" w:rsidRPr="002D23B9">
        <w:t>4</w:t>
      </w:r>
      <w:r w:rsidRPr="002D23B9">
        <w:t>: Victoria generation and bidding patterns</w:t>
      </w:r>
    </w:p>
    <w:p w:rsidR="00785F23" w:rsidRPr="002D23B9" w:rsidRDefault="000661B8" w:rsidP="00785F23">
      <w:pPr>
        <w:pStyle w:val="AERbodytext"/>
      </w:pPr>
      <w:r w:rsidRPr="000661B8">
        <w:pict>
          <v:shape id="_x0000_i1044"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45pt;height:307.6pt">
            <v:imagedata r:id="rId13" o:title=""/>
          </v:shape>
        </w:pict>
      </w:r>
    </w:p>
    <w:p w:rsidR="00C52BE5" w:rsidRPr="002D23B9" w:rsidRDefault="00C52BE5" w:rsidP="00C52BE5">
      <w:pPr>
        <w:pStyle w:val="Figureheading"/>
        <w:numPr>
          <w:ilvl w:val="0"/>
          <w:numId w:val="0"/>
        </w:numPr>
        <w:ind w:left="357" w:hanging="357"/>
      </w:pPr>
      <w:r w:rsidRPr="002D23B9">
        <w:t xml:space="preserve">Figure </w:t>
      </w:r>
      <w:r w:rsidR="00261A37" w:rsidRPr="002D23B9">
        <w:t>5</w:t>
      </w:r>
      <w:r w:rsidRPr="002D23B9">
        <w:t>: South Australia</w:t>
      </w:r>
      <w:r w:rsidR="00D96C94" w:rsidRPr="002D23B9">
        <w:t xml:space="preserve"> generation and bidding patterns</w:t>
      </w:r>
    </w:p>
    <w:p w:rsidR="002652CD" w:rsidRPr="002D23B9" w:rsidRDefault="000661B8" w:rsidP="002652CD">
      <w:pPr>
        <w:pStyle w:val="AERbodytext"/>
      </w:pPr>
      <w:r w:rsidRPr="000661B8">
        <w:pict>
          <v:shape id="_x0000_i1046" type="#_x0000_t75" alt="Figure 5 shows the total generation dispatched and the amounts of capacity bid in within certain price bands for each 30 minute trading interval in South Australia this week. Should you require a description of the data for the week under review, please email us at AERInquiry@aer.gov.au." style="width:450.45pt;height:308.15pt">
            <v:imagedata r:id="rId14" o:title=""/>
          </v:shape>
        </w:pict>
      </w:r>
    </w:p>
    <w:p w:rsidR="0048688D" w:rsidRPr="002D23B9" w:rsidRDefault="0048688D" w:rsidP="0048688D">
      <w:pPr>
        <w:pStyle w:val="Figureheading"/>
        <w:numPr>
          <w:ilvl w:val="0"/>
          <w:numId w:val="0"/>
        </w:numPr>
        <w:ind w:left="357" w:hanging="357"/>
      </w:pPr>
      <w:r w:rsidRPr="002D23B9">
        <w:t xml:space="preserve">Figure </w:t>
      </w:r>
      <w:r w:rsidR="00E27C7A" w:rsidRPr="002D23B9">
        <w:t>6</w:t>
      </w:r>
      <w:r w:rsidRPr="002D23B9">
        <w:t>: Tasmania</w:t>
      </w:r>
      <w:r w:rsidR="00D96C94" w:rsidRPr="002D23B9">
        <w:t xml:space="preserve"> generation and bidding patterns</w:t>
      </w:r>
    </w:p>
    <w:p w:rsidR="00B027E9" w:rsidRPr="002D23B9" w:rsidRDefault="000661B8" w:rsidP="002652CD">
      <w:pPr>
        <w:pStyle w:val="AERbodytext"/>
      </w:pPr>
      <w:r w:rsidRPr="000661B8">
        <w:pict>
          <v:shape id="_x0000_i1048"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45pt;height:307.6pt">
            <v:imagedata r:id="rId15"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8F05E6" w:rsidRPr="002D23B9" w:rsidRDefault="00F618E2" w:rsidP="00021E37">
      <w:pPr>
        <w:pStyle w:val="AERbodytext"/>
      </w:pPr>
      <w:r w:rsidRPr="002D23B9">
        <w:t>The total cost of FCAS on the mainland for the week was $</w:t>
      </w:r>
      <w:r w:rsidR="006510CC">
        <w:t>173</w:t>
      </w:r>
      <w:r w:rsidR="005F775F" w:rsidRPr="002D23B9">
        <w:t> 0</w:t>
      </w:r>
      <w:r w:rsidR="003E5E52" w:rsidRPr="002D23B9">
        <w:t>00</w:t>
      </w:r>
      <w:r w:rsidR="005F775F" w:rsidRPr="002D23B9">
        <w:t xml:space="preserve"> or less than 1</w:t>
      </w:r>
      <w:r w:rsidRPr="002D23B9">
        <w:t xml:space="preserve"> per cent of energy turnover on the mainland</w:t>
      </w:r>
      <w:r w:rsidR="00221B68" w:rsidRPr="002D23B9">
        <w:t xml:space="preserve">. </w:t>
      </w:r>
      <w:r w:rsidR="005F775F" w:rsidRPr="002D23B9">
        <w:t>T</w:t>
      </w:r>
      <w:r w:rsidR="00753DF7" w:rsidRPr="002D23B9">
        <w:t>he total cost</w:t>
      </w:r>
      <w:r w:rsidR="005F775F" w:rsidRPr="002D23B9">
        <w:t xml:space="preserve"> of FCAS in Tasmania</w:t>
      </w:r>
      <w:r w:rsidR="00753DF7" w:rsidRPr="002D23B9">
        <w:t xml:space="preserve"> </w:t>
      </w:r>
      <w:r w:rsidR="00221B68" w:rsidRPr="002D23B9">
        <w:t>for the week was $</w:t>
      </w:r>
      <w:r w:rsidR="006510CC">
        <w:t>14</w:t>
      </w:r>
      <w:r w:rsidR="005F775F" w:rsidRPr="002D23B9">
        <w:t> </w:t>
      </w:r>
      <w:r w:rsidR="00DD05B9" w:rsidRPr="002D23B9">
        <w:t>0</w:t>
      </w:r>
      <w:r w:rsidR="009864C0" w:rsidRPr="002D23B9">
        <w:t xml:space="preserve">00 </w:t>
      </w:r>
      <w:r w:rsidR="00221B68" w:rsidRPr="002D23B9">
        <w:t xml:space="preserve">or </w:t>
      </w:r>
      <w:r w:rsidR="00537009" w:rsidRPr="002D23B9">
        <w:t xml:space="preserve">less than </w:t>
      </w:r>
      <w:r w:rsidR="005F775F" w:rsidRPr="002D23B9">
        <w:t>1</w:t>
      </w:r>
      <w:r w:rsidR="008245F0" w:rsidRPr="002D23B9">
        <w:t xml:space="preserve"> </w:t>
      </w:r>
      <w:r w:rsidR="00221B68" w:rsidRPr="002D23B9">
        <w:t>per cent of energy turnover in Tasmania</w:t>
      </w:r>
      <w:r w:rsidR="008F05E6" w:rsidRPr="002D23B9">
        <w:t xml:space="preserve">. </w:t>
      </w:r>
    </w:p>
    <w:p w:rsidR="00977DC4" w:rsidRPr="002D23B9"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2D23B9">
        <w:t xml:space="preserve">Figure </w:t>
      </w:r>
      <w:r w:rsidR="00E27C7A" w:rsidRPr="002D23B9">
        <w:t>7</w:t>
      </w:r>
      <w:r w:rsidRPr="002D23B9">
        <w:t>: Daily frequency control ancillary service cost</w:t>
      </w:r>
    </w:p>
    <w:p w:rsidR="002652CD" w:rsidRPr="002D23B9" w:rsidRDefault="000661B8" w:rsidP="002652CD">
      <w:pPr>
        <w:pStyle w:val="AERbodytext"/>
      </w:pPr>
      <w:r w:rsidRPr="000661B8">
        <w:pict>
          <v:shape id="_x0000_i1055" type="#_x0000_t75" alt="Figure 7 shows the daily breakdown of cost for each FCAS for the NEM, as well as the average cost since the beginning of the previous financial year.&#10;Should you require a description of the data for the week under review, please email us at  AERInquiry@aer.gov.au.        &#10;        &#10;        &#10;        &#10;" style="width:450.45pt;height:224.65pt">
            <v:imagedata r:id="rId16" o:title=""/>
          </v:shape>
        </w:pict>
      </w:r>
    </w:p>
    <w:bookmarkEnd w:id="0"/>
    <w:bookmarkEnd w:id="1"/>
    <w:bookmarkEnd w:id="2"/>
    <w:bookmarkEnd w:id="3"/>
    <w:bookmarkEnd w:id="4"/>
    <w:bookmarkEnd w:id="5"/>
    <w:p w:rsidR="00E053E2" w:rsidRPr="002D23B9" w:rsidRDefault="00E053E2" w:rsidP="003A4158">
      <w:pPr>
        <w:pStyle w:val="Heading2"/>
        <w:rPr>
          <w:color w:val="auto"/>
        </w:rPr>
      </w:pPr>
    </w:p>
    <w:p w:rsidR="00E96C5A" w:rsidRPr="002D23B9" w:rsidRDefault="00E96C5A" w:rsidP="00E96C5A">
      <w:pPr>
        <w:pStyle w:val="Heading2"/>
        <w:rPr>
          <w:color w:val="auto"/>
        </w:rPr>
      </w:pPr>
      <w:r w:rsidRPr="002D23B9">
        <w:rPr>
          <w:color w:val="auto"/>
        </w:rPr>
        <w:t>Financial markets</w:t>
      </w:r>
    </w:p>
    <w:p w:rsidR="00E96C5A" w:rsidRPr="002D23B9" w:rsidRDefault="00E96C5A" w:rsidP="00E96C5A">
      <w:pPr>
        <w:pStyle w:val="AERbodytext"/>
      </w:pPr>
      <w:r w:rsidRPr="002D23B9">
        <w:t xml:space="preserve">Figure 8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192E97" w:rsidP="00942195">
      <w:pPr>
        <w:pStyle w:val="AERbodytext"/>
        <w:keepNext/>
      </w:pPr>
      <w:r w:rsidRPr="000661B8">
        <w:pict>
          <v:shape id="_x0000_i1058" type="#_x0000_t75" alt="Figure 8 shows for all mainland regions the prices for base contracts (and total traded quantities for the week) for each quarter for the next four financial years.     " style="width:451pt;height:225.2pt">
            <v:imagedata r:id="rId17" o:title=""/>
          </v:shape>
        </w:pict>
      </w:r>
    </w:p>
    <w:p w:rsidR="00E96C5A" w:rsidRPr="002D23B9" w:rsidRDefault="00E96C5A" w:rsidP="00170E47">
      <w:pPr>
        <w:pStyle w:val="Sourceandnotes"/>
        <w:ind w:left="0" w:firstLine="0"/>
      </w:pPr>
      <w:r w:rsidRPr="002D23B9">
        <w:t xml:space="preserve">Source: </w:t>
      </w:r>
      <w:hyperlink r:id="rId18"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t>Figure 9: Price of Q1 2014 base contracts over the past 10 weeks (and the past 2 years)</w:t>
      </w:r>
    </w:p>
    <w:p w:rsidR="00E96C5A" w:rsidRPr="002D23B9" w:rsidRDefault="00192E97" w:rsidP="00942195">
      <w:pPr>
        <w:pStyle w:val="AERbodytext"/>
      </w:pPr>
      <w:r w:rsidRPr="00192E97">
        <w:pict>
          <v:shape id="_x0000_i1061"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45pt;height:225.2pt">
            <v:imagedata r:id="rId19"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0"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1"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E96C5A" w:rsidP="00E96C5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The cap </w:t>
      </w:r>
      <w:proofErr w:type="gramStart"/>
      <w:r w:rsidRPr="002D23B9">
        <w:t>contracts limit exposure to extreme spot prices (above $300/MWh) and is</w:t>
      </w:r>
      <w:proofErr w:type="gramEnd"/>
      <w:r w:rsidRPr="002D23B9">
        <w:t xml:space="preserve">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192E97" w:rsidP="00942195">
      <w:pPr>
        <w:pStyle w:val="AERbodytext"/>
      </w:pPr>
      <w:r w:rsidRPr="00192E97">
        <w:pict>
          <v:shape id="_x0000_i1064" type="#_x0000_t75" alt="Figure 10 shows how the price for each regional Quarter 1 2014 cap contract has changed over the last 10 weeks (as well as the total number of trades each week). The closing quarter 1 2012 and quarter 1 2013 prices are also shown.        &#10;" style="width:451pt;height:225.2pt">
            <v:imagedata r:id="rId22" o:title=""/>
          </v:shape>
        </w:pict>
      </w:r>
    </w:p>
    <w:p w:rsidR="00E96C5A" w:rsidRPr="002D23B9" w:rsidRDefault="00E96C5A" w:rsidP="00170E47">
      <w:pPr>
        <w:pStyle w:val="Sourceandnotes"/>
        <w:spacing w:after="120"/>
      </w:pPr>
      <w:r w:rsidRPr="002D23B9">
        <w:t xml:space="preserve">Source: </w:t>
      </w:r>
      <w:hyperlink r:id="rId23"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5DDE" w:rsidP="003157C3">
      <w:r w:rsidRPr="002D23B9">
        <w:rPr>
          <w:b/>
        </w:rPr>
        <w:t xml:space="preserve">December </w:t>
      </w:r>
      <w:r w:rsidR="00E96C5A" w:rsidRPr="002D23B9">
        <w:rPr>
          <w:b/>
        </w:rPr>
        <w:t>2013</w:t>
      </w:r>
      <w:bookmarkStart w:id="9" w:name="_GoBack"/>
      <w:bookmarkEnd w:id="9"/>
    </w:p>
    <w:sectPr w:rsidR="00E96C5A" w:rsidRPr="002D23B9"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B8" w:rsidRDefault="000661B8" w:rsidP="00BB640B">
      <w:r>
        <w:separator/>
      </w:r>
    </w:p>
    <w:p w:rsidR="000661B8" w:rsidRDefault="000661B8"/>
    <w:p w:rsidR="000661B8" w:rsidRDefault="000661B8"/>
  </w:endnote>
  <w:endnote w:type="continuationSeparator" w:id="0">
    <w:p w:rsidR="000661B8" w:rsidRDefault="000661B8" w:rsidP="00BB640B">
      <w:r>
        <w:continuationSeparator/>
      </w:r>
    </w:p>
    <w:p w:rsidR="000661B8" w:rsidRDefault="000661B8"/>
    <w:p w:rsidR="000661B8" w:rsidRDefault="00066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B8" w:rsidRPr="00474107" w:rsidRDefault="000661B8"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4781C">
      <w:rPr>
        <w:rStyle w:val="PageNumber"/>
        <w:noProof/>
      </w:rPr>
      <w:t>2</w:t>
    </w:r>
    <w:r>
      <w:rPr>
        <w:rStyle w:val="PageNumber"/>
      </w:rPr>
      <w:fldChar w:fldCharType="end"/>
    </w:r>
  </w:p>
  <w:p w:rsidR="000661B8" w:rsidRPr="0097256D" w:rsidRDefault="000661B8"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B8" w:rsidRPr="00643F62" w:rsidRDefault="000661B8"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Pr>
        <w:rFonts w:ascii="Arial" w:hAnsi="Arial" w:cs="Arial"/>
        <w:sz w:val="18"/>
        <w:szCs w:val="18"/>
      </w:rPr>
      <w:t>D13/170988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B8" w:rsidRDefault="000661B8" w:rsidP="00BB640B">
      <w:r>
        <w:separator/>
      </w:r>
    </w:p>
    <w:p w:rsidR="000661B8" w:rsidRPr="00DB6729" w:rsidRDefault="000661B8">
      <w:pPr>
        <w:rPr>
          <w:b/>
          <w:sz w:val="2"/>
        </w:rPr>
      </w:pPr>
    </w:p>
  </w:footnote>
  <w:footnote w:type="continuationSeparator" w:id="0">
    <w:p w:rsidR="000661B8" w:rsidRDefault="000661B8" w:rsidP="00BB640B">
      <w:r>
        <w:continuationSeparator/>
      </w:r>
    </w:p>
    <w:p w:rsidR="000661B8" w:rsidRDefault="000661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215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1110 - 20131116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1B8"/>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1BF"/>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E97"/>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2E7"/>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5E9"/>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537"/>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360"/>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0CC"/>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0AA"/>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4ED"/>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CC4"/>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A43"/>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4D7"/>
    <w:rsid w:val="00AB7974"/>
    <w:rsid w:val="00AB7CE6"/>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3474"/>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1C"/>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3FF"/>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2B5"/>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2AB"/>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4DC"/>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5EA"/>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94E"/>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6CE7"/>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0F5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9B2"/>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2013-12-05T03:55:00Z</dcterms:created>
  <dcterms:modified xsi:type="dcterms:W3CDTF">2013-12-05T03:55:00Z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8104815</vt:lpwstr>
  </property>
</Properties>
</file>