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8A519D"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71.7pt;height:76pt;z-index:251658240" filled="f" stroked="f">
            <v:textbox style="mso-next-textbox:#_x0000_s1026">
              <w:txbxContent>
                <w:p w:rsidR="004B0BCD" w:rsidRDefault="004B0BCD">
                  <w:pPr>
                    <w:pStyle w:val="Title"/>
                    <w:jc w:val="left"/>
                  </w:pPr>
                  <w:r w:rsidRPr="00F50D3A">
                    <w:t>Electricity</w:t>
                  </w:r>
                  <w:r>
                    <w:t xml:space="preserve"> Report</w:t>
                  </w:r>
                </w:p>
                <w:p w:rsidR="004B0BCD" w:rsidRDefault="004B0BCD">
                  <w:pPr>
                    <w:pStyle w:val="Title"/>
                    <w:jc w:val="left"/>
                    <w:rPr>
                      <w:i/>
                    </w:rPr>
                  </w:pPr>
                  <w:r>
                    <w:t>3 to 9 November 2013</w:t>
                  </w:r>
                  <w:r w:rsidRPr="00F50D3A">
                    <w:t xml:space="preserve"> </w:t>
                  </w:r>
                </w:p>
                <w:p w:rsidR="004B0BCD" w:rsidRDefault="004B0BCD">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99.15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Default="000E1281" w:rsidP="002F6FF5">
      <w:pPr>
        <w:rPr>
          <w:lang w:eastAsia="en-US"/>
        </w:rPr>
      </w:pP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r w:rsidR="00953237">
        <w:t>shows</w:t>
      </w:r>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FE0649" w:rsidP="00785F23">
      <w:pPr>
        <w:pStyle w:val="AERbodytext"/>
      </w:pPr>
      <w:r w:rsidRPr="00FE0649">
        <w:t xml:space="preserve"> </w:t>
      </w:r>
      <w:r w:rsidR="008A519D">
        <w:pict>
          <v:shape id="_x0000_i1026" type="#_x0000_t75" alt="Figure 1 shows the volume weighted average (VWA) prices for this week (with prices shown in Table 1) and the preceding 12 weeks, as well as the VWA price over the previous 3 financial years.    &#10;" style="width:451.7pt;height:225.5pt">
            <v:imagedata r:id="rId9"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Tas</w:t>
            </w:r>
          </w:p>
        </w:tc>
      </w:tr>
      <w:tr w:rsidR="006C0BC3"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6C0BC3" w:rsidRPr="007556DA" w:rsidRDefault="006C0BC3">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53</w:t>
            </w:r>
          </w:p>
        </w:tc>
        <w:tc>
          <w:tcPr>
            <w:tcW w:w="1275" w:type="dxa"/>
            <w:tcBorders>
              <w:top w:val="nil"/>
              <w:bottom w:val="nil"/>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50</w:t>
            </w:r>
          </w:p>
        </w:tc>
        <w:tc>
          <w:tcPr>
            <w:tcW w:w="1276" w:type="dxa"/>
            <w:tcBorders>
              <w:top w:val="nil"/>
              <w:bottom w:val="nil"/>
            </w:tcBorders>
            <w:shd w:val="clear" w:color="auto" w:fill="DDD9C3" w:themeFill="background2" w:themeFillShade="E6"/>
            <w:vAlign w:val="center"/>
          </w:tcPr>
          <w:p w:rsidR="006C0BC3" w:rsidRDefault="001C12B6">
            <w:pPr>
              <w:jc w:val="center"/>
              <w:rPr>
                <w:rFonts w:cs="Gautami"/>
                <w:sz w:val="16"/>
                <w:szCs w:val="16"/>
              </w:rPr>
            </w:pPr>
            <w:r>
              <w:rPr>
                <w:rFonts w:cs="Gautami"/>
                <w:sz w:val="16"/>
                <w:szCs w:val="16"/>
              </w:rPr>
              <w:t>45</w:t>
            </w:r>
          </w:p>
        </w:tc>
        <w:tc>
          <w:tcPr>
            <w:tcW w:w="1134" w:type="dxa"/>
            <w:tcBorders>
              <w:top w:val="nil"/>
              <w:bottom w:val="nil"/>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49</w:t>
            </w:r>
          </w:p>
        </w:tc>
        <w:tc>
          <w:tcPr>
            <w:tcW w:w="1275" w:type="dxa"/>
            <w:tcBorders>
              <w:top w:val="nil"/>
              <w:bottom w:val="nil"/>
            </w:tcBorders>
            <w:shd w:val="clear" w:color="auto" w:fill="DDD9C3" w:themeFill="background2" w:themeFillShade="E6"/>
            <w:vAlign w:val="center"/>
          </w:tcPr>
          <w:p w:rsidR="006C0BC3" w:rsidRDefault="001C12B6">
            <w:pPr>
              <w:jc w:val="center"/>
              <w:rPr>
                <w:rFonts w:cs="Gautami"/>
                <w:sz w:val="16"/>
                <w:szCs w:val="16"/>
              </w:rPr>
            </w:pPr>
            <w:r>
              <w:rPr>
                <w:rFonts w:cs="Gautami"/>
                <w:sz w:val="16"/>
                <w:szCs w:val="16"/>
              </w:rPr>
              <w:t>40</w:t>
            </w:r>
          </w:p>
        </w:tc>
      </w:tr>
      <w:tr w:rsidR="006C0BC3" w:rsidRPr="007556DA" w:rsidTr="00CA5F6C">
        <w:trPr>
          <w:trHeight w:hRule="exact" w:val="454"/>
        </w:trPr>
        <w:tc>
          <w:tcPr>
            <w:tcW w:w="1809" w:type="dxa"/>
            <w:tcBorders>
              <w:top w:val="nil"/>
              <w:bottom w:val="nil"/>
            </w:tcBorders>
            <w:shd w:val="clear" w:color="auto" w:fill="EEECE1" w:themeFill="background2"/>
            <w:noWrap/>
            <w:vAlign w:val="center"/>
          </w:tcPr>
          <w:p w:rsidR="006C0BC3" w:rsidRPr="007556DA" w:rsidRDefault="006C0BC3">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56</w:t>
            </w:r>
          </w:p>
        </w:tc>
        <w:tc>
          <w:tcPr>
            <w:tcW w:w="1275"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59</w:t>
            </w:r>
          </w:p>
        </w:tc>
        <w:tc>
          <w:tcPr>
            <w:tcW w:w="1276" w:type="dxa"/>
            <w:tcBorders>
              <w:top w:val="nil"/>
              <w:bottom w:val="nil"/>
            </w:tcBorders>
            <w:shd w:val="clear" w:color="auto" w:fill="EEECE1" w:themeFill="background2"/>
            <w:vAlign w:val="center"/>
          </w:tcPr>
          <w:p w:rsidR="006C0BC3" w:rsidRDefault="006C0BC3">
            <w:pPr>
              <w:jc w:val="center"/>
              <w:rPr>
                <w:rFonts w:cs="Gautami"/>
                <w:sz w:val="16"/>
                <w:szCs w:val="16"/>
              </w:rPr>
            </w:pPr>
            <w:r>
              <w:rPr>
                <w:rFonts w:cs="Gautami"/>
                <w:sz w:val="16"/>
                <w:szCs w:val="16"/>
              </w:rPr>
              <w:t>60</w:t>
            </w:r>
          </w:p>
        </w:tc>
        <w:tc>
          <w:tcPr>
            <w:tcW w:w="1134"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64</w:t>
            </w:r>
          </w:p>
        </w:tc>
        <w:tc>
          <w:tcPr>
            <w:tcW w:w="1275" w:type="dxa"/>
            <w:tcBorders>
              <w:top w:val="nil"/>
              <w:bottom w:val="nil"/>
            </w:tcBorders>
            <w:shd w:val="clear" w:color="auto" w:fill="EEECE1" w:themeFill="background2"/>
            <w:vAlign w:val="center"/>
          </w:tcPr>
          <w:p w:rsidR="006C0BC3" w:rsidRDefault="006C0BC3">
            <w:pPr>
              <w:jc w:val="center"/>
              <w:rPr>
                <w:rFonts w:cs="Gautami"/>
                <w:sz w:val="16"/>
                <w:szCs w:val="16"/>
              </w:rPr>
            </w:pPr>
            <w:r>
              <w:rPr>
                <w:rFonts w:cs="Gautami"/>
                <w:sz w:val="16"/>
                <w:szCs w:val="16"/>
              </w:rPr>
              <w:t>48</w:t>
            </w:r>
          </w:p>
        </w:tc>
      </w:tr>
      <w:tr w:rsidR="006C0BC3"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6C0BC3" w:rsidRPr="007556DA" w:rsidRDefault="006C0BC3">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60</w:t>
            </w:r>
          </w:p>
        </w:tc>
        <w:tc>
          <w:tcPr>
            <w:tcW w:w="1275" w:type="dxa"/>
            <w:tcBorders>
              <w:top w:val="nil"/>
              <w:bottom w:val="single" w:sz="4" w:space="0" w:color="auto"/>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54</w:t>
            </w:r>
          </w:p>
        </w:tc>
        <w:tc>
          <w:tcPr>
            <w:tcW w:w="1276" w:type="dxa"/>
            <w:tcBorders>
              <w:top w:val="nil"/>
              <w:bottom w:val="single" w:sz="4" w:space="0" w:color="auto"/>
            </w:tcBorders>
            <w:shd w:val="clear" w:color="auto" w:fill="DDD9C3" w:themeFill="background2" w:themeFillShade="E6"/>
            <w:vAlign w:val="center"/>
          </w:tcPr>
          <w:p w:rsidR="006C0BC3" w:rsidRDefault="001C12B6">
            <w:pPr>
              <w:jc w:val="center"/>
              <w:rPr>
                <w:rFonts w:cs="Gautami"/>
                <w:sz w:val="16"/>
                <w:szCs w:val="16"/>
              </w:rPr>
            </w:pPr>
            <w:r>
              <w:rPr>
                <w:rFonts w:cs="Gautami"/>
                <w:sz w:val="16"/>
                <w:szCs w:val="16"/>
              </w:rPr>
              <w:t>53</w:t>
            </w:r>
          </w:p>
        </w:tc>
        <w:tc>
          <w:tcPr>
            <w:tcW w:w="1134" w:type="dxa"/>
            <w:tcBorders>
              <w:top w:val="nil"/>
              <w:bottom w:val="single" w:sz="4" w:space="0" w:color="auto"/>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66</w:t>
            </w:r>
          </w:p>
        </w:tc>
        <w:tc>
          <w:tcPr>
            <w:tcW w:w="1275" w:type="dxa"/>
            <w:tcBorders>
              <w:top w:val="nil"/>
              <w:bottom w:val="single" w:sz="4" w:space="0" w:color="auto"/>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45</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0" w:history="1">
        <w:r w:rsidR="000F1E82">
          <w:rPr>
            <w:rStyle w:val="Hyperlink"/>
          </w:rPr>
          <w:t>AER website</w:t>
        </w:r>
      </w:hyperlink>
      <w:r>
        <w:t xml:space="preserve">. </w:t>
      </w:r>
    </w:p>
    <w:bookmarkEnd w:id="7"/>
    <w:bookmarkEnd w:id="8"/>
    <w:p w:rsidR="006E199B" w:rsidRDefault="007F5786" w:rsidP="00BD4E2C">
      <w:pPr>
        <w:pStyle w:val="Heading2"/>
      </w:pPr>
      <w:r>
        <w:lastRenderedPageBreak/>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1C12B6">
        <w:t>22</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6C0BC3" w:rsidRPr="00155A20" w:rsidTr="00CA5F6C">
        <w:trPr>
          <w:trHeight w:hRule="exact" w:val="454"/>
        </w:trPr>
        <w:tc>
          <w:tcPr>
            <w:tcW w:w="2127" w:type="dxa"/>
            <w:tcBorders>
              <w:bottom w:val="nil"/>
            </w:tcBorders>
            <w:shd w:val="clear" w:color="auto" w:fill="DDD9C3" w:themeFill="background2" w:themeFillShade="E6"/>
            <w:noWrap/>
            <w:vAlign w:val="center"/>
          </w:tcPr>
          <w:p w:rsidR="006C0BC3" w:rsidRPr="00155A20" w:rsidRDefault="006C0BC3">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0</w:t>
            </w:r>
          </w:p>
        </w:tc>
        <w:tc>
          <w:tcPr>
            <w:tcW w:w="1418" w:type="dxa"/>
            <w:tcBorders>
              <w:bottom w:val="nil"/>
            </w:tcBorders>
            <w:shd w:val="clear" w:color="auto" w:fill="DDD9C3" w:themeFill="background2" w:themeFillShade="E6"/>
            <w:noWrap/>
            <w:vAlign w:val="center"/>
          </w:tcPr>
          <w:p w:rsidR="006C0BC3" w:rsidRDefault="001C12B6">
            <w:pPr>
              <w:jc w:val="center"/>
              <w:rPr>
                <w:rFonts w:cs="Gautami"/>
                <w:sz w:val="16"/>
                <w:szCs w:val="16"/>
              </w:rPr>
            </w:pPr>
            <w:r>
              <w:rPr>
                <w:rFonts w:cs="Gautami"/>
                <w:sz w:val="16"/>
                <w:szCs w:val="16"/>
              </w:rPr>
              <w:t>36</w:t>
            </w:r>
          </w:p>
        </w:tc>
        <w:tc>
          <w:tcPr>
            <w:tcW w:w="1843" w:type="dxa"/>
            <w:tcBorders>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6C0BC3" w:rsidRDefault="001C12B6">
            <w:pPr>
              <w:jc w:val="center"/>
              <w:rPr>
                <w:rFonts w:cs="Gautami"/>
                <w:sz w:val="16"/>
                <w:szCs w:val="16"/>
              </w:rPr>
            </w:pPr>
            <w:r>
              <w:rPr>
                <w:rFonts w:cs="Gautami"/>
                <w:sz w:val="16"/>
                <w:szCs w:val="16"/>
              </w:rPr>
              <w:t>0</w:t>
            </w:r>
          </w:p>
        </w:tc>
      </w:tr>
      <w:tr w:rsidR="006C0BC3"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6C0BC3" w:rsidRPr="00155A20" w:rsidRDefault="006C0BC3">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6C0BC3" w:rsidRDefault="001C12B6">
            <w:pPr>
              <w:jc w:val="center"/>
              <w:rPr>
                <w:rFonts w:cs="Gautami"/>
                <w:sz w:val="16"/>
                <w:szCs w:val="16"/>
              </w:rPr>
            </w:pPr>
            <w:r>
              <w:rPr>
                <w:rFonts w:cs="Gautami"/>
                <w:sz w:val="16"/>
                <w:szCs w:val="16"/>
              </w:rPr>
              <w:t>47</w:t>
            </w:r>
          </w:p>
        </w:tc>
        <w:tc>
          <w:tcPr>
            <w:tcW w:w="1418" w:type="dxa"/>
            <w:tcBorders>
              <w:top w:val="nil"/>
              <w:bottom w:val="single" w:sz="4" w:space="0" w:color="auto"/>
            </w:tcBorders>
            <w:shd w:val="clear" w:color="auto" w:fill="EEECE1" w:themeFill="background2"/>
            <w:noWrap/>
            <w:vAlign w:val="center"/>
          </w:tcPr>
          <w:p w:rsidR="006C0BC3" w:rsidRDefault="001C12B6">
            <w:pPr>
              <w:jc w:val="center"/>
              <w:rPr>
                <w:rFonts w:cs="Gautami"/>
                <w:sz w:val="16"/>
                <w:szCs w:val="16"/>
              </w:rPr>
            </w:pPr>
            <w:r>
              <w:rPr>
                <w:rFonts w:cs="Gautami"/>
                <w:sz w:val="16"/>
                <w:szCs w:val="16"/>
              </w:rPr>
              <w:t>14</w:t>
            </w:r>
          </w:p>
        </w:tc>
        <w:tc>
          <w:tcPr>
            <w:tcW w:w="1843" w:type="dxa"/>
            <w:tcBorders>
              <w:top w:val="nil"/>
              <w:bottom w:val="single" w:sz="4" w:space="0" w:color="auto"/>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6C0BC3" w:rsidRDefault="001C12B6">
            <w:pPr>
              <w:jc w:val="center"/>
              <w:rPr>
                <w:rFonts w:cs="Gautami"/>
                <w:sz w:val="16"/>
                <w:szCs w:val="16"/>
              </w:rPr>
            </w:pPr>
            <w:r>
              <w:rPr>
                <w:rFonts w:cs="Gautami"/>
                <w:sz w:val="16"/>
                <w:szCs w:val="16"/>
              </w:rPr>
              <w:t>3</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8A519D"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07.7pt">
            <v:imagedata r:id="rId11"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8A519D" w:rsidP="002652CD">
      <w:pPr>
        <w:pStyle w:val="AERbodytext"/>
      </w:pPr>
      <w:r>
        <w:pict>
          <v:shape id="_x0000_i1028" type="#_x0000_t75" alt="Figure 3 shows the total generation dispatched and the amounts of capacity bid in within certain price bands for each 30 minute trading interval in New South Wales this week. Should you require a description of the data for the week under review, please email us at AERInquiry@aer.gov.au.   &#10;" style="width:451pt;height:307.7pt">
            <v:imagedata r:id="rId12" o:title=""/>
          </v:shape>
        </w:pict>
      </w:r>
    </w:p>
    <w:p w:rsidR="00785F23" w:rsidRPr="00785F23" w:rsidRDefault="00785F23" w:rsidP="00785F23">
      <w:pPr>
        <w:pStyle w:val="AERbodytext"/>
      </w:pPr>
    </w:p>
    <w:p w:rsidR="00F4461C" w:rsidRDefault="00F4461C" w:rsidP="00F4461C">
      <w:pPr>
        <w:pStyle w:val="Figureheading"/>
        <w:numPr>
          <w:ilvl w:val="0"/>
          <w:numId w:val="0"/>
        </w:numPr>
        <w:ind w:left="357" w:hanging="357"/>
      </w:pPr>
      <w:r w:rsidRPr="0030575B">
        <w:lastRenderedPageBreak/>
        <w:t xml:space="preserve">Figure </w:t>
      </w:r>
      <w:r w:rsidR="00261A37" w:rsidRPr="0030575B">
        <w:t>4</w:t>
      </w:r>
      <w:r w:rsidRPr="0030575B">
        <w:t>: Victoria generation and bidding patterns</w:t>
      </w:r>
    </w:p>
    <w:p w:rsidR="00785F23" w:rsidRPr="00785F23" w:rsidRDefault="008A519D"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07.7pt">
            <v:imagedata r:id="rId13"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8A519D" w:rsidP="002652CD">
      <w:pPr>
        <w:pStyle w:val="AERbodytext"/>
      </w:pPr>
      <w:r>
        <w:pict>
          <v:shape id="_x0000_i1030" type="#_x0000_t75" alt="Figure 5 shows the total generation dispatched and the amounts of capacity bid in within certain price bands for each 30 minute trading interval in South Australia this week. Should you require a description of the data for the week under review, please email us at AERInquiry@aer.gov.au.   &#10;" style="width:451pt;height:308.4pt">
            <v:imagedata r:id="rId14" o:title=""/>
          </v:shape>
        </w:pict>
      </w:r>
    </w:p>
    <w:p w:rsidR="0048688D" w:rsidRDefault="0048688D" w:rsidP="0048688D">
      <w:pPr>
        <w:pStyle w:val="Figureheading"/>
        <w:numPr>
          <w:ilvl w:val="0"/>
          <w:numId w:val="0"/>
        </w:numPr>
        <w:ind w:left="357" w:hanging="357"/>
      </w:pPr>
      <w:r w:rsidRPr="0030575B">
        <w:lastRenderedPageBreak/>
        <w:t xml:space="preserve">Figure </w:t>
      </w:r>
      <w:r w:rsidR="00E27C7A" w:rsidRPr="0030575B">
        <w:t>6</w:t>
      </w:r>
      <w:r w:rsidRPr="0030575B">
        <w:t>: Tasmania</w:t>
      </w:r>
      <w:r w:rsidR="00D96C94" w:rsidRPr="0030575B">
        <w:t xml:space="preserve"> generation and bidding patterns</w:t>
      </w:r>
    </w:p>
    <w:p w:rsidR="00B027E9" w:rsidRDefault="008A519D" w:rsidP="002652CD">
      <w:pPr>
        <w:pStyle w:val="AERbodytext"/>
      </w:pPr>
      <w:r>
        <w:pict>
          <v:shape id="_x0000_i1031" type="#_x0000_t75" alt="Figure 6 shows the total generation dispatched and the amounts of capacity bid in within certain price bands for each 30 minute trading interval in Tasmania this week. Should you require a description of the data for the week under review, please email us at AERInquiry@aer.gov.au.   &#10;" style="width:451pt;height:307.7pt">
            <v:imagedata r:id="rId15"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r w:rsidRPr="00B61C11">
        <w:rPr>
          <w:i/>
        </w:rPr>
        <w:t>delayed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6C0BC3" w:rsidRDefault="00F618E2" w:rsidP="00021E37">
      <w:pPr>
        <w:pStyle w:val="AERbodytext"/>
      </w:pPr>
      <w:r w:rsidRPr="00F618E2">
        <w:t>The total cost of FCAS on the mainland for the week was $</w:t>
      </w:r>
      <w:r w:rsidR="001C12B6">
        <w:t>164</w:t>
      </w:r>
      <w:r w:rsidR="006C0BC3">
        <w:t> 500</w:t>
      </w:r>
      <w:r w:rsidR="00436CA9">
        <w:t xml:space="preserve"> </w:t>
      </w:r>
      <w:r w:rsidRPr="00F618E2">
        <w:t>or less than 1 per cent of energy turnover on the</w:t>
      </w:r>
      <w:r>
        <w:t xml:space="preserve"> mainland</w:t>
      </w:r>
      <w:r w:rsidR="00221B68" w:rsidRPr="00021E37">
        <w:t xml:space="preserve">. </w:t>
      </w:r>
    </w:p>
    <w:p w:rsidR="008F05E6" w:rsidRPr="00021E37" w:rsidRDefault="00753DF7" w:rsidP="00021E37">
      <w:pPr>
        <w:pStyle w:val="AERbodytext"/>
      </w:pPr>
      <w:r w:rsidRPr="00021E37">
        <w:t xml:space="preserve">In </w:t>
      </w:r>
      <w:r w:rsidR="00221B68" w:rsidRPr="00021E37">
        <w:t xml:space="preserve">Tasmania </w:t>
      </w:r>
      <w:r w:rsidRPr="00021E37">
        <w:t xml:space="preserve">(which requires dedicated services for much of the time) the total cost </w:t>
      </w:r>
      <w:r w:rsidR="00221B68" w:rsidRPr="00021E37">
        <w:t>for the week was $</w:t>
      </w:r>
      <w:r w:rsidR="001C12B6">
        <w:t>20</w:t>
      </w:r>
      <w:r w:rsidR="006C0BC3">
        <w:t> </w:t>
      </w:r>
      <w:r w:rsidR="001C12B6">
        <w:t>0</w:t>
      </w:r>
      <w:r w:rsidR="00221B68" w:rsidRPr="00021E37">
        <w:t xml:space="preserve">00 or </w:t>
      </w:r>
      <w:r w:rsidR="00537009">
        <w:t xml:space="preserve">less than </w:t>
      </w:r>
      <w:r w:rsidR="00DD7812">
        <w:t>1</w:t>
      </w:r>
      <w:r w:rsidR="008245F0" w:rsidRPr="00021E37">
        <w:t xml:space="preserve"> </w:t>
      </w:r>
      <w:r w:rsidR="00221B68" w:rsidRPr="00021E37">
        <w:t>per cent of energy turnover in Tasmania</w:t>
      </w:r>
      <w:r w:rsidR="008F05E6" w:rsidRPr="00021E37">
        <w:t>.</w:t>
      </w:r>
      <w:r w:rsidR="00FA30F1">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lastRenderedPageBreak/>
        <w:t xml:space="preserve">Figure </w:t>
      </w:r>
      <w:r w:rsidR="00E27C7A" w:rsidRPr="0030575B">
        <w:t>7</w:t>
      </w:r>
      <w:r w:rsidRPr="0030575B">
        <w:t>: Daily frequency control ancillary service cost</w:t>
      </w:r>
    </w:p>
    <w:p w:rsidR="002652CD" w:rsidRPr="002652CD" w:rsidRDefault="008A519D" w:rsidP="002652CD">
      <w:pPr>
        <w:pStyle w:val="AERbodytext"/>
      </w:pPr>
      <w:r>
        <w:pict>
          <v:shape id="_x0000_i1032" type="#_x0000_t75" alt="Figure 7 shows the daily breakdown of cost for each FCAS for the NEM, as well as the average cost since the beginning of the previous financial year. Should you require a description of the data for the week under review, please email us at  AERInquiry@aer.gov.au.        &#10;        &#10;        &#10;        &#10;" style="width:451pt;height:224.85pt">
            <v:imagedata r:id="rId16" o:title=""/>
          </v:shape>
        </w:pict>
      </w:r>
    </w:p>
    <w:bookmarkEnd w:id="0"/>
    <w:bookmarkEnd w:id="1"/>
    <w:bookmarkEnd w:id="2"/>
    <w:bookmarkEnd w:id="3"/>
    <w:bookmarkEnd w:id="4"/>
    <w:bookmarkEnd w:id="5"/>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w:t>
      </w:r>
      <w:r w:rsidR="0036714A">
        <w:t>4</w:t>
      </w:r>
      <w:r w:rsidRPr="0030575B">
        <w:t xml:space="preserve"> 2013 – Q</w:t>
      </w:r>
      <w:r w:rsidR="0036714A">
        <w:t>3</w:t>
      </w:r>
      <w:r w:rsidRPr="0030575B">
        <w:t xml:space="preserve"> 2017</w:t>
      </w:r>
    </w:p>
    <w:p w:rsidR="00942195" w:rsidRDefault="008A519D" w:rsidP="00942195">
      <w:pPr>
        <w:pStyle w:val="AERbodytext"/>
        <w:keepNext/>
      </w:pPr>
      <w:r>
        <w:pict>
          <v:shape id="_x0000_i1033" type="#_x0000_t75" alt="Figure 8 shows for all mainland regions the prices for base contracts (and total traded quantities for the week) for each quarter for the next four financial years.     &#10;" style="width:451.7pt;height:224.85pt">
            <v:imagedata r:id="rId17" o:title=""/>
          </v:shape>
        </w:pict>
      </w:r>
    </w:p>
    <w:p w:rsidR="00E96C5A" w:rsidRPr="008245F0" w:rsidRDefault="00E96C5A" w:rsidP="00170E47">
      <w:pPr>
        <w:pStyle w:val="Sourceandnotes"/>
        <w:ind w:left="0" w:firstLine="0"/>
      </w:pPr>
      <w:r w:rsidRPr="008245F0">
        <w:t xml:space="preserve">Source: </w:t>
      </w:r>
      <w:hyperlink r:id="rId18"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lastRenderedPageBreak/>
        <w:t>Figure 9: Price of Q1 2014 base contracts over the past 10 weeks (and the past 2 years)</w:t>
      </w:r>
    </w:p>
    <w:p w:rsidR="00E96C5A" w:rsidRPr="00942195" w:rsidRDefault="008A519D"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 style="width:451pt;height:224.85pt">
            <v:imagedata r:id="rId19"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0"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1" w:history="1">
        <w:r w:rsidR="00E12907">
          <w:rPr>
            <w:rStyle w:val="Hyperlink"/>
          </w:rPr>
          <w:t xml:space="preserve">Industry Statistics </w:t>
        </w:r>
      </w:hyperlink>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contracts limit exposure to extreme spot prices (above $300/MWh) and is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8A519D"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10;" style="width:451.7pt;height:224.85pt">
            <v:imagedata r:id="rId22" o:title=""/>
          </v:shape>
        </w:pict>
      </w:r>
    </w:p>
    <w:p w:rsidR="00E96C5A" w:rsidRPr="00130EA0" w:rsidRDefault="00E96C5A" w:rsidP="00170E47">
      <w:pPr>
        <w:pStyle w:val="Sourceandnotes"/>
        <w:spacing w:after="120"/>
      </w:pPr>
      <w:r w:rsidRPr="005543BA">
        <w:t>Source</w:t>
      </w:r>
      <w:r>
        <w:t xml:space="preserve">: </w:t>
      </w:r>
      <w:hyperlink r:id="rId23"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36714A" w:rsidP="003157C3">
      <w:r>
        <w:rPr>
          <w:b/>
        </w:rPr>
        <w:t>Nov</w:t>
      </w:r>
      <w:r w:rsidR="00765707">
        <w:rPr>
          <w:b/>
        </w:rPr>
        <w:t xml:space="preserve">ember </w:t>
      </w:r>
      <w:r w:rsidR="00E96C5A" w:rsidRPr="005F739F">
        <w:rPr>
          <w:b/>
        </w:rPr>
        <w:t>201</w:t>
      </w:r>
      <w:r w:rsidR="00E96C5A">
        <w:rPr>
          <w:b/>
        </w:rPr>
        <w:t>3</w:t>
      </w:r>
    </w:p>
    <w:sectPr w:rsidR="00E96C5A"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CD" w:rsidRDefault="004B0BCD" w:rsidP="00BB640B">
      <w:r>
        <w:separator/>
      </w:r>
    </w:p>
    <w:p w:rsidR="004B0BCD" w:rsidRDefault="004B0BCD"/>
    <w:p w:rsidR="004B0BCD" w:rsidRDefault="004B0BCD"/>
  </w:endnote>
  <w:endnote w:type="continuationSeparator" w:id="0">
    <w:p w:rsidR="004B0BCD" w:rsidRDefault="004B0BCD" w:rsidP="00BB640B">
      <w:r>
        <w:continuationSeparator/>
      </w:r>
    </w:p>
    <w:p w:rsidR="004B0BCD" w:rsidRDefault="004B0BCD"/>
    <w:p w:rsidR="004B0BCD" w:rsidRDefault="004B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CD" w:rsidRPr="00474107" w:rsidRDefault="004B0BC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8A519D">
      <w:rPr>
        <w:rStyle w:val="PageNumber"/>
        <w:noProof/>
      </w:rPr>
      <w:t>7</w:t>
    </w:r>
    <w:r>
      <w:rPr>
        <w:rStyle w:val="PageNumber"/>
      </w:rPr>
      <w:fldChar w:fldCharType="end"/>
    </w:r>
  </w:p>
  <w:p w:rsidR="004B0BCD" w:rsidRPr="0097256D" w:rsidRDefault="004B0BC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CD" w:rsidRPr="00643F62" w:rsidRDefault="004B0BC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61190F">
      <w:rPr>
        <w:i/>
      </w:rPr>
      <w:t>D13/157361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CD" w:rsidRDefault="004B0BCD" w:rsidP="00BB640B">
      <w:r>
        <w:separator/>
      </w:r>
    </w:p>
    <w:p w:rsidR="004B0BCD" w:rsidRPr="00DB6729" w:rsidRDefault="004B0BCD">
      <w:pPr>
        <w:rPr>
          <w:b/>
          <w:sz w:val="2"/>
        </w:rPr>
      </w:pPr>
    </w:p>
  </w:footnote>
  <w:footnote w:type="continuationSeparator" w:id="0">
    <w:p w:rsidR="004B0BCD" w:rsidRDefault="004B0BCD" w:rsidP="00BB640B">
      <w:r>
        <w:continuationSeparator/>
      </w:r>
    </w:p>
    <w:p w:rsidR="004B0BCD" w:rsidRDefault="004B0B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0E54CB6"/>
    <w:multiLevelType w:val="hybridMultilevel"/>
    <w:tmpl w:val="745A0D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2"/>
  </w:num>
  <w:num w:numId="8">
    <w:abstractNumId w:val="24"/>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3"/>
  </w:num>
  <w:num w:numId="16">
    <w:abstractNumId w:val="13"/>
  </w:num>
  <w:num w:numId="17">
    <w:abstractNumId w:val="21"/>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5"/>
  </w:num>
  <w:num w:numId="30">
    <w:abstractNumId w:val="22"/>
  </w:num>
  <w:num w:numId="31">
    <w:abstractNumId w:val="22"/>
  </w:num>
  <w:num w:numId="32">
    <w:abstractNumId w:val="22"/>
  </w:num>
  <w:num w:numId="33">
    <w:abstractNumId w:val="22"/>
  </w:num>
  <w:num w:numId="34">
    <w:abstractNumId w:val="22"/>
  </w:num>
  <w:num w:numId="35">
    <w:abstractNumId w:val="10"/>
  </w:num>
  <w:num w:numId="36">
    <w:abstractNumId w:val="22"/>
  </w:num>
  <w:num w:numId="37">
    <w:abstractNumId w:val="10"/>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9"/>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051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ghuang\20131103 -20131109 Electricity weekly report - for web upload.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D98"/>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796"/>
    <w:rsid w:val="0009081C"/>
    <w:rsid w:val="00090EF3"/>
    <w:rsid w:val="00091027"/>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5A5"/>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4BE"/>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6B"/>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4E5"/>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2B6"/>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4C3"/>
    <w:rsid w:val="001E48D4"/>
    <w:rsid w:val="001E4CD0"/>
    <w:rsid w:val="001E4ECA"/>
    <w:rsid w:val="001E514D"/>
    <w:rsid w:val="001E5211"/>
    <w:rsid w:val="001E548A"/>
    <w:rsid w:val="001E56A1"/>
    <w:rsid w:val="001E59C8"/>
    <w:rsid w:val="001E5CE9"/>
    <w:rsid w:val="001E6564"/>
    <w:rsid w:val="001E6672"/>
    <w:rsid w:val="001E67C8"/>
    <w:rsid w:val="001E6A4A"/>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BC3"/>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2F7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0F4"/>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AFC"/>
    <w:rsid w:val="00295B5D"/>
    <w:rsid w:val="00295BF6"/>
    <w:rsid w:val="00295D28"/>
    <w:rsid w:val="00296221"/>
    <w:rsid w:val="00296DA3"/>
    <w:rsid w:val="00297526"/>
    <w:rsid w:val="00297A70"/>
    <w:rsid w:val="00297C2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3E3"/>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392"/>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699"/>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530"/>
    <w:rsid w:val="002D67EB"/>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5CC"/>
    <w:rsid w:val="002F787E"/>
    <w:rsid w:val="002F7CF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5DA3"/>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14A"/>
    <w:rsid w:val="00367A35"/>
    <w:rsid w:val="00367D2A"/>
    <w:rsid w:val="00367E1D"/>
    <w:rsid w:val="00367E58"/>
    <w:rsid w:val="003704AF"/>
    <w:rsid w:val="0037068B"/>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456"/>
    <w:rsid w:val="003A2E14"/>
    <w:rsid w:val="003A309A"/>
    <w:rsid w:val="003A3778"/>
    <w:rsid w:val="003A407A"/>
    <w:rsid w:val="003A4158"/>
    <w:rsid w:val="003A424A"/>
    <w:rsid w:val="003A4B02"/>
    <w:rsid w:val="003A4FD7"/>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45"/>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1F12"/>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67"/>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17A19"/>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CA9"/>
    <w:rsid w:val="00436D85"/>
    <w:rsid w:val="00436FFE"/>
    <w:rsid w:val="00437BD8"/>
    <w:rsid w:val="00437F80"/>
    <w:rsid w:val="00440625"/>
    <w:rsid w:val="00440E31"/>
    <w:rsid w:val="00441624"/>
    <w:rsid w:val="004416FC"/>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688"/>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BCD"/>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886"/>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196"/>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5C7"/>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56"/>
    <w:rsid w:val="005638A0"/>
    <w:rsid w:val="005639BD"/>
    <w:rsid w:val="00563D2A"/>
    <w:rsid w:val="00564079"/>
    <w:rsid w:val="00564131"/>
    <w:rsid w:val="00564940"/>
    <w:rsid w:val="00564D91"/>
    <w:rsid w:val="00565874"/>
    <w:rsid w:val="00565F7C"/>
    <w:rsid w:val="00566305"/>
    <w:rsid w:val="005664FC"/>
    <w:rsid w:val="00566D9C"/>
    <w:rsid w:val="00566FE5"/>
    <w:rsid w:val="00567153"/>
    <w:rsid w:val="00567196"/>
    <w:rsid w:val="00567475"/>
    <w:rsid w:val="0056751E"/>
    <w:rsid w:val="00567579"/>
    <w:rsid w:val="00567A2C"/>
    <w:rsid w:val="00567C07"/>
    <w:rsid w:val="00567D71"/>
    <w:rsid w:val="00570313"/>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53"/>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90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735"/>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061"/>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330"/>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5E3"/>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1FE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8FD"/>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BC3"/>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1B0"/>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69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842"/>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63A"/>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1C3"/>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388"/>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B94"/>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0F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19D"/>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C5F"/>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4EE"/>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1D5"/>
    <w:rsid w:val="0091421E"/>
    <w:rsid w:val="00914596"/>
    <w:rsid w:val="0091459B"/>
    <w:rsid w:val="009147FF"/>
    <w:rsid w:val="009148A8"/>
    <w:rsid w:val="0091498B"/>
    <w:rsid w:val="00915051"/>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768"/>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6DF"/>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2C3"/>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B56"/>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47"/>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2FA0"/>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592"/>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546"/>
    <w:rsid w:val="00B4162A"/>
    <w:rsid w:val="00B417A2"/>
    <w:rsid w:val="00B41B26"/>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8C3"/>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D4"/>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24"/>
    <w:rsid w:val="00BB3BBE"/>
    <w:rsid w:val="00BB4089"/>
    <w:rsid w:val="00BB4D6D"/>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58F"/>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4FF"/>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5FE1"/>
    <w:rsid w:val="00BF6447"/>
    <w:rsid w:val="00BF666C"/>
    <w:rsid w:val="00BF6A53"/>
    <w:rsid w:val="00BF6C16"/>
    <w:rsid w:val="00BF6C19"/>
    <w:rsid w:val="00BF6E6A"/>
    <w:rsid w:val="00BF6FB7"/>
    <w:rsid w:val="00BF7A41"/>
    <w:rsid w:val="00BF7EA0"/>
    <w:rsid w:val="00C00409"/>
    <w:rsid w:val="00C006AC"/>
    <w:rsid w:val="00C00BB7"/>
    <w:rsid w:val="00C00EF7"/>
    <w:rsid w:val="00C010F5"/>
    <w:rsid w:val="00C0148D"/>
    <w:rsid w:val="00C01989"/>
    <w:rsid w:val="00C01A2D"/>
    <w:rsid w:val="00C01B3B"/>
    <w:rsid w:val="00C01BB9"/>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CB2"/>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5D54"/>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06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8BA"/>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A67"/>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38D"/>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B49"/>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5CB"/>
    <w:rsid w:val="00DD1808"/>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BDC"/>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2B92"/>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907"/>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C3"/>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069"/>
    <w:rsid w:val="00E3145F"/>
    <w:rsid w:val="00E31AAB"/>
    <w:rsid w:val="00E32144"/>
    <w:rsid w:val="00E32659"/>
    <w:rsid w:val="00E32B73"/>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2C"/>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4F4"/>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87D24"/>
    <w:rsid w:val="00E9040D"/>
    <w:rsid w:val="00E90578"/>
    <w:rsid w:val="00E90701"/>
    <w:rsid w:val="00E9072C"/>
    <w:rsid w:val="00E90871"/>
    <w:rsid w:val="00E90ABF"/>
    <w:rsid w:val="00E90BFE"/>
    <w:rsid w:val="00E9129C"/>
    <w:rsid w:val="00E915D5"/>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2B"/>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577"/>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994"/>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A9A"/>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24"/>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760"/>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95F"/>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332"/>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630"/>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5EF"/>
    <w:rsid w:val="00FA2A06"/>
    <w:rsid w:val="00FA2A1D"/>
    <w:rsid w:val="00FA2AF7"/>
    <w:rsid w:val="00FA30F1"/>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649"/>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DF2B92"/>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449E5BD6.dotm</Template>
  <TotalTime>0</TotalTime>
  <Pages>7</Pages>
  <Words>1098</Words>
  <Characters>5930</Characters>
  <Application>Microsoft Office Word</Application>
  <DocSecurity>0</DocSecurity>
  <Lines>456</Lines>
  <Paragraphs>369</Paragraphs>
  <ScaleCrop>false</ScaleCrop>
  <Company/>
  <LinksUpToDate>false</LinksUpToDate>
  <CharactersWithSpaces>6659</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2013-11-19T04:27:00Z</dcterms:created>
  <dcterms:modified xsi:type="dcterms:W3CDTF">2013-11-19T04:28:00Z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8090129</vt:lpwstr>
  </property>
</Properties>
</file>