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B718C3"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24.25pt;height:76pt;z-index:251658240" filled="f" stroked="f">
            <v:textbox style="mso-next-textbox:#_x0000_s1026">
              <w:txbxContent>
                <w:p w:rsidR="00E12907" w:rsidRDefault="00E12907">
                  <w:pPr>
                    <w:pStyle w:val="Title"/>
                    <w:jc w:val="left"/>
                  </w:pPr>
                  <w:r w:rsidRPr="00F50D3A">
                    <w:t>Electricity</w:t>
                  </w:r>
                  <w:r>
                    <w:t xml:space="preserve"> Report</w:t>
                  </w:r>
                </w:p>
                <w:p w:rsidR="00E12907" w:rsidRDefault="00E12907">
                  <w:pPr>
                    <w:pStyle w:val="Title"/>
                    <w:jc w:val="left"/>
                    <w:rPr>
                      <w:i/>
                    </w:rPr>
                  </w:pPr>
                  <w:r>
                    <w:t>8 to 14 September 2013</w:t>
                  </w:r>
                  <w:r w:rsidRPr="00F50D3A">
                    <w:t xml:space="preserve"> </w:t>
                  </w:r>
                </w:p>
                <w:p w:rsidR="00E12907" w:rsidRDefault="00E12907">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98.9pt">
            <v:imagedata r:id="rId9"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0E1281" w:rsidRDefault="000E1281" w:rsidP="002F6FF5">
      <w:pPr>
        <w:rPr>
          <w:lang w:eastAsia="en-US"/>
        </w:rPr>
      </w:pPr>
    </w:p>
    <w:p w:rsidR="000E1281" w:rsidRDefault="00B02A59" w:rsidP="000E1281">
      <w:pPr>
        <w:pStyle w:val="Heading2"/>
      </w:pPr>
      <w:r>
        <w:t>Weekly s</w:t>
      </w:r>
      <w:r w:rsidR="000E1281">
        <w:t>potlight</w:t>
      </w:r>
    </w:p>
    <w:p w:rsidR="00D45A67" w:rsidRPr="00E5772C" w:rsidRDefault="00D45A67" w:rsidP="003157C3">
      <w:pPr>
        <w:pStyle w:val="Heading2"/>
        <w:keepNext w:val="0"/>
        <w:widowControl w:val="0"/>
        <w:rPr>
          <w:rFonts w:cs="Times New Roman"/>
          <w:bCs w:val="0"/>
          <w:iCs w:val="0"/>
          <w:color w:val="auto"/>
          <w:sz w:val="20"/>
          <w:szCs w:val="24"/>
        </w:rPr>
      </w:pPr>
      <w:r w:rsidRPr="00E5772C">
        <w:rPr>
          <w:rFonts w:cs="Times New Roman"/>
          <w:bCs w:val="0"/>
          <w:iCs w:val="0"/>
          <w:color w:val="auto"/>
          <w:sz w:val="20"/>
          <w:szCs w:val="24"/>
        </w:rPr>
        <w:t>Summary</w:t>
      </w:r>
    </w:p>
    <w:p w:rsidR="00C94F21" w:rsidRDefault="003A4FD7" w:rsidP="003157C3">
      <w:pPr>
        <w:pStyle w:val="Heading2"/>
        <w:keepNext w:val="0"/>
        <w:widowControl w:val="0"/>
        <w:rPr>
          <w:rFonts w:cs="Times New Roman"/>
          <w:b w:val="0"/>
          <w:bCs w:val="0"/>
          <w:iCs w:val="0"/>
          <w:color w:val="auto"/>
          <w:sz w:val="20"/>
          <w:szCs w:val="24"/>
        </w:rPr>
      </w:pPr>
      <w:r>
        <w:rPr>
          <w:rFonts w:cs="Times New Roman"/>
          <w:b w:val="0"/>
          <w:bCs w:val="0"/>
          <w:iCs w:val="0"/>
          <w:color w:val="auto"/>
          <w:sz w:val="20"/>
          <w:szCs w:val="24"/>
        </w:rPr>
        <w:t xml:space="preserve">On 8 and 10 September the planned outage of </w:t>
      </w:r>
      <w:r w:rsidRPr="006A68FD">
        <w:rPr>
          <w:rFonts w:cs="Times New Roman"/>
          <w:b w:val="0"/>
          <w:bCs w:val="0"/>
          <w:iCs w:val="0"/>
          <w:color w:val="auto"/>
          <w:sz w:val="20"/>
          <w:szCs w:val="24"/>
        </w:rPr>
        <w:t xml:space="preserve">the </w:t>
      </w:r>
      <w:r w:rsidR="006A68FD" w:rsidRPr="006A68FD">
        <w:rPr>
          <w:rFonts w:cs="Times New Roman"/>
          <w:b w:val="0"/>
          <w:bCs w:val="0"/>
          <w:iCs w:val="0"/>
          <w:color w:val="auto"/>
          <w:sz w:val="20"/>
          <w:szCs w:val="24"/>
        </w:rPr>
        <w:t xml:space="preserve">Heywood to Portland to </w:t>
      </w:r>
      <w:proofErr w:type="spellStart"/>
      <w:r w:rsidR="006A68FD" w:rsidRPr="006A68FD">
        <w:rPr>
          <w:rFonts w:cs="Times New Roman"/>
          <w:b w:val="0"/>
          <w:bCs w:val="0"/>
          <w:iCs w:val="0"/>
          <w:color w:val="auto"/>
          <w:sz w:val="20"/>
          <w:szCs w:val="24"/>
        </w:rPr>
        <w:t>Tarrone</w:t>
      </w:r>
      <w:proofErr w:type="spellEnd"/>
      <w:r w:rsidR="006A68FD" w:rsidRPr="006A68FD">
        <w:rPr>
          <w:rFonts w:cs="Times New Roman"/>
          <w:b w:val="0"/>
          <w:bCs w:val="0"/>
          <w:iCs w:val="0"/>
          <w:color w:val="auto"/>
          <w:sz w:val="20"/>
          <w:szCs w:val="24"/>
        </w:rPr>
        <w:t xml:space="preserve"> No. 1 500</w:t>
      </w:r>
      <w:r w:rsidR="00C65D54">
        <w:rPr>
          <w:rFonts w:cs="Times New Roman"/>
          <w:b w:val="0"/>
          <w:bCs w:val="0"/>
          <w:iCs w:val="0"/>
          <w:color w:val="auto"/>
          <w:sz w:val="20"/>
          <w:szCs w:val="24"/>
        </w:rPr>
        <w:t> </w:t>
      </w:r>
      <w:r w:rsidR="006A68FD" w:rsidRPr="006A68FD">
        <w:rPr>
          <w:rFonts w:cs="Times New Roman"/>
          <w:b w:val="0"/>
          <w:bCs w:val="0"/>
          <w:iCs w:val="0"/>
          <w:color w:val="auto"/>
          <w:sz w:val="20"/>
          <w:szCs w:val="24"/>
        </w:rPr>
        <w:t xml:space="preserve">kV line </w:t>
      </w:r>
      <w:r w:rsidR="006A68FD">
        <w:rPr>
          <w:rFonts w:cs="Times New Roman"/>
          <w:b w:val="0"/>
          <w:bCs w:val="0"/>
          <w:iCs w:val="0"/>
          <w:color w:val="auto"/>
          <w:sz w:val="20"/>
          <w:szCs w:val="24"/>
        </w:rPr>
        <w:t xml:space="preserve">combined with generation at Mortlake power station </w:t>
      </w:r>
      <w:r w:rsidR="006A68FD" w:rsidRPr="006A68FD">
        <w:rPr>
          <w:rFonts w:cs="Times New Roman"/>
          <w:b w:val="0"/>
          <w:bCs w:val="0"/>
          <w:iCs w:val="0"/>
          <w:color w:val="auto"/>
          <w:sz w:val="20"/>
          <w:szCs w:val="24"/>
        </w:rPr>
        <w:t>led to large requirements for local Frequency Control Ancillary Service (FCAS)</w:t>
      </w:r>
      <w:r w:rsidR="006A68FD">
        <w:rPr>
          <w:rFonts w:cs="Times New Roman"/>
          <w:b w:val="0"/>
          <w:bCs w:val="0"/>
          <w:iCs w:val="0"/>
          <w:color w:val="auto"/>
          <w:sz w:val="20"/>
          <w:szCs w:val="24"/>
        </w:rPr>
        <w:t xml:space="preserve"> in South Australia. The </w:t>
      </w:r>
      <w:r w:rsidRPr="006A68FD">
        <w:rPr>
          <w:rFonts w:cs="Times New Roman"/>
          <w:b w:val="0"/>
          <w:bCs w:val="0"/>
          <w:iCs w:val="0"/>
          <w:color w:val="auto"/>
          <w:sz w:val="20"/>
          <w:szCs w:val="24"/>
        </w:rPr>
        <w:t>price for local lower FCAS in S</w:t>
      </w:r>
      <w:r>
        <w:rPr>
          <w:rFonts w:cs="Times New Roman"/>
          <w:b w:val="0"/>
          <w:bCs w:val="0"/>
          <w:iCs w:val="0"/>
          <w:color w:val="auto"/>
          <w:sz w:val="20"/>
          <w:szCs w:val="24"/>
        </w:rPr>
        <w:t>outh Australia exceeded $5000/MW on 12 occasions for a total cost of around $</w:t>
      </w:r>
      <w:r w:rsidR="00C65D54">
        <w:rPr>
          <w:rFonts w:cs="Times New Roman"/>
          <w:b w:val="0"/>
          <w:bCs w:val="0"/>
          <w:iCs w:val="0"/>
          <w:color w:val="auto"/>
          <w:sz w:val="20"/>
          <w:szCs w:val="24"/>
        </w:rPr>
        <w:t>980 </w:t>
      </w:r>
      <w:r>
        <w:rPr>
          <w:rFonts w:cs="Times New Roman"/>
          <w:b w:val="0"/>
          <w:bCs w:val="0"/>
          <w:iCs w:val="0"/>
          <w:color w:val="auto"/>
          <w:sz w:val="20"/>
          <w:szCs w:val="24"/>
        </w:rPr>
        <w:t>000, which is paid for by South Australian customers.</w:t>
      </w:r>
    </w:p>
    <w:p w:rsidR="00A422C3" w:rsidRPr="00B35592" w:rsidRDefault="00E20CC3" w:rsidP="00B35592">
      <w:pPr>
        <w:spacing w:after="120"/>
        <w:outlineLvl w:val="0"/>
      </w:pPr>
      <w:r>
        <w:t>Ge</w:t>
      </w:r>
      <w:r w:rsidRPr="00D45A67">
        <w:t>neration at Mortlake at the same time as the Heywood-Portland-</w:t>
      </w:r>
      <w:proofErr w:type="spellStart"/>
      <w:r w:rsidRPr="00D45A67">
        <w:t>Tarrone</w:t>
      </w:r>
      <w:proofErr w:type="spellEnd"/>
      <w:r w:rsidRPr="00D45A67">
        <w:t xml:space="preserve"> line outage require</w:t>
      </w:r>
      <w:r>
        <w:t>s</w:t>
      </w:r>
      <w:r w:rsidRPr="00D45A67">
        <w:t xml:space="preserve"> higher </w:t>
      </w:r>
      <w:r>
        <w:t>exports across Heywood into Victoria</w:t>
      </w:r>
      <w:r w:rsidRPr="00D45A67">
        <w:t xml:space="preserve"> to manage voltage conditions at the Portland (APD) 500</w:t>
      </w:r>
      <w:r>
        <w:t> </w:t>
      </w:r>
      <w:r w:rsidRPr="00D45A67">
        <w:t xml:space="preserve">kV busbar. </w:t>
      </w:r>
      <w:r w:rsidR="005639BD">
        <w:t>E</w:t>
      </w:r>
      <w:r>
        <w:t>xports</w:t>
      </w:r>
      <w:r w:rsidRPr="00D45A67">
        <w:t xml:space="preserve"> </w:t>
      </w:r>
      <w:r w:rsidR="005639BD">
        <w:t xml:space="preserve">from South Australia, </w:t>
      </w:r>
      <w:r>
        <w:t>across</w:t>
      </w:r>
      <w:r w:rsidRPr="00D45A67">
        <w:t xml:space="preserve"> the Heywood interconnector</w:t>
      </w:r>
      <w:r w:rsidR="005639BD">
        <w:t>,</w:t>
      </w:r>
      <w:r w:rsidRPr="00D45A67">
        <w:t xml:space="preserve"> </w:t>
      </w:r>
      <w:r>
        <w:t>to</w:t>
      </w:r>
      <w:r w:rsidRPr="00D45A67">
        <w:t xml:space="preserve"> Victoria increase the Lower FCAS services requirement in South Australia.</w:t>
      </w:r>
      <w:r>
        <w:t xml:space="preserve"> </w:t>
      </w:r>
      <w:r w:rsidRPr="00B35592">
        <w:t xml:space="preserve">If the </w:t>
      </w:r>
      <w:r w:rsidR="005639BD">
        <w:t xml:space="preserve">Heywood interconnector </w:t>
      </w:r>
      <w:r w:rsidRPr="00B35592">
        <w:t xml:space="preserve">was </w:t>
      </w:r>
      <w:r w:rsidR="005639BD">
        <w:t>to fail under export conditions from South Australia</w:t>
      </w:r>
      <w:r w:rsidRPr="00B35592">
        <w:t xml:space="preserve">, then local “lower” services </w:t>
      </w:r>
      <w:r w:rsidR="005639BD">
        <w:t xml:space="preserve">would be </w:t>
      </w:r>
      <w:r w:rsidRPr="00B35592">
        <w:t xml:space="preserve">required to </w:t>
      </w:r>
      <w:r w:rsidR="005639BD">
        <w:t xml:space="preserve">rapidly reduce local generation and </w:t>
      </w:r>
      <w:r w:rsidRPr="00B35592">
        <w:t xml:space="preserve">lower the frequency. </w:t>
      </w:r>
      <w:r w:rsidR="005639BD">
        <w:t>T</w:t>
      </w:r>
      <w:r w:rsidRPr="00B35592">
        <w:t>o manage this, lower contingency FCAS must be sourced from suppliers in South Australia (typically generators)</w:t>
      </w:r>
      <w:r w:rsidR="002D67EB">
        <w:t xml:space="preserve"> </w:t>
      </w:r>
      <w:r w:rsidR="005639BD">
        <w:t xml:space="preserve">in </w:t>
      </w:r>
      <w:r w:rsidRPr="00B35592">
        <w:t>proportion to the flow across the interconnector from South Australia to Victoria</w:t>
      </w:r>
      <w:r w:rsidR="00B35592" w:rsidRPr="00B35592">
        <w:t>.</w:t>
      </w:r>
    </w:p>
    <w:p w:rsidR="005639BD" w:rsidRDefault="00E20CC3" w:rsidP="00A422C3">
      <w:pPr>
        <w:spacing w:after="120"/>
        <w:outlineLvl w:val="0"/>
      </w:pPr>
      <w:r w:rsidRPr="00605352">
        <w:t xml:space="preserve">There are only three power stations registered to provide the </w:t>
      </w:r>
      <w:r w:rsidR="00E915D5">
        <w:t>Lower FCAS</w:t>
      </w:r>
      <w:r w:rsidRPr="00605352">
        <w:t xml:space="preserve"> in South Australia</w:t>
      </w:r>
      <w:r>
        <w:t xml:space="preserve">: </w:t>
      </w:r>
    </w:p>
    <w:p w:rsidR="005639BD" w:rsidRDefault="00E20CC3" w:rsidP="00E12907">
      <w:pPr>
        <w:pStyle w:val="Listbullet1"/>
      </w:pPr>
      <w:r w:rsidRPr="00605352">
        <w:t xml:space="preserve">Northern Power Station (owned by </w:t>
      </w:r>
      <w:proofErr w:type="spellStart"/>
      <w:r w:rsidRPr="00605352">
        <w:t>Alinta</w:t>
      </w:r>
      <w:proofErr w:type="spellEnd"/>
      <w:r w:rsidRPr="00605352">
        <w:t xml:space="preserve"> Energy)</w:t>
      </w:r>
      <w:r>
        <w:t>;</w:t>
      </w:r>
      <w:r w:rsidRPr="00605352">
        <w:t xml:space="preserve"> </w:t>
      </w:r>
    </w:p>
    <w:p w:rsidR="005639BD" w:rsidRDefault="00E20CC3" w:rsidP="00E12907">
      <w:pPr>
        <w:pStyle w:val="Listbullet1"/>
      </w:pPr>
      <w:r w:rsidRPr="00605352">
        <w:t>Torrens Island A and B (owned by AGL)</w:t>
      </w:r>
      <w:r>
        <w:t>;</w:t>
      </w:r>
      <w:r w:rsidRPr="00605352">
        <w:t xml:space="preserve"> and </w:t>
      </w:r>
    </w:p>
    <w:p w:rsidR="005639BD" w:rsidRDefault="00E20CC3" w:rsidP="00E12907">
      <w:pPr>
        <w:pStyle w:val="Listbullet1"/>
      </w:pPr>
      <w:r w:rsidRPr="00605352">
        <w:t>Pelican Point Power Station (owned by GDF Suez).</w:t>
      </w:r>
      <w:r w:rsidR="00E90578">
        <w:t xml:space="preserve"> </w:t>
      </w:r>
    </w:p>
    <w:p w:rsidR="00B35592" w:rsidRDefault="00E90578" w:rsidP="00E12907">
      <w:pPr>
        <w:pStyle w:val="Listbullet1"/>
        <w:numPr>
          <w:ilvl w:val="0"/>
          <w:numId w:val="0"/>
        </w:numPr>
      </w:pPr>
      <w:r>
        <w:t xml:space="preserve">On both days </w:t>
      </w:r>
      <w:r w:rsidR="00B35592">
        <w:t xml:space="preserve">Northern Power station </w:t>
      </w:r>
      <w:r w:rsidR="00222F7E">
        <w:t>and five Torrens Island units were</w:t>
      </w:r>
      <w:r w:rsidR="00B35592">
        <w:t xml:space="preserve"> offline</w:t>
      </w:r>
      <w:r w:rsidR="005639BD">
        <w:t xml:space="preserve"> and</w:t>
      </w:r>
      <w:r w:rsidR="00B35592">
        <w:t>, therefore</w:t>
      </w:r>
      <w:r w:rsidR="005639BD">
        <w:t>,</w:t>
      </w:r>
      <w:r w:rsidR="00B35592">
        <w:t xml:space="preserve"> unable to provide FCAS</w:t>
      </w:r>
      <w:r w:rsidR="00222F7E">
        <w:t>.</w:t>
      </w:r>
      <w:r w:rsidR="00B35592">
        <w:t xml:space="preserve"> </w:t>
      </w:r>
    </w:p>
    <w:p w:rsidR="00A422C3" w:rsidRDefault="00A422C3" w:rsidP="00A422C3">
      <w:pPr>
        <w:spacing w:after="120"/>
        <w:outlineLvl w:val="0"/>
      </w:pPr>
      <w:r w:rsidRPr="00177257">
        <w:t>AGL</w:t>
      </w:r>
      <w:r w:rsidR="005639BD">
        <w:t>, through Torrens Island</w:t>
      </w:r>
      <w:r w:rsidRPr="00177257">
        <w:t xml:space="preserve"> is the most significant provider of </w:t>
      </w:r>
      <w:r>
        <w:t>lower</w:t>
      </w:r>
      <w:r w:rsidRPr="00177257">
        <w:t xml:space="preserve"> frequency control services in South Australia</w:t>
      </w:r>
      <w:r w:rsidR="005639BD">
        <w:t>.  On the days in question,</w:t>
      </w:r>
      <w:r w:rsidR="005639BD" w:rsidRPr="005639BD">
        <w:t xml:space="preserve"> </w:t>
      </w:r>
      <w:r w:rsidR="005639BD" w:rsidRPr="00177257">
        <w:t>through day-ahead offers</w:t>
      </w:r>
      <w:r w:rsidR="005639BD">
        <w:t xml:space="preserve"> (and rebidding)</w:t>
      </w:r>
      <w:r w:rsidR="005639BD" w:rsidRPr="00177257">
        <w:t>,</w:t>
      </w:r>
      <w:r w:rsidR="005639BD">
        <w:t xml:space="preserve"> AGL </w:t>
      </w:r>
      <w:r w:rsidRPr="00177257">
        <w:t xml:space="preserve">offered, the majority of </w:t>
      </w:r>
      <w:r>
        <w:t xml:space="preserve">the </w:t>
      </w:r>
      <w:r w:rsidRPr="00177257">
        <w:t xml:space="preserve">capacity for these services </w:t>
      </w:r>
      <w:r w:rsidR="00E90578">
        <w:t>above $5000/MW</w:t>
      </w:r>
      <w:r>
        <w:t>.</w:t>
      </w:r>
    </w:p>
    <w:p w:rsidR="00E5772C" w:rsidRPr="00E5772C" w:rsidRDefault="00E5772C" w:rsidP="00A422C3">
      <w:pPr>
        <w:spacing w:after="120"/>
        <w:outlineLvl w:val="0"/>
        <w:rPr>
          <w:b/>
        </w:rPr>
      </w:pPr>
      <w:r w:rsidRPr="00E5772C">
        <w:rPr>
          <w:b/>
        </w:rPr>
        <w:t>8 September</w:t>
      </w:r>
    </w:p>
    <w:p w:rsidR="0013226B" w:rsidRDefault="0013226B" w:rsidP="00A422C3">
      <w:pPr>
        <w:outlineLvl w:val="0"/>
      </w:pPr>
      <w:r>
        <w:t xml:space="preserve">On 8 September Mortlake was forecast to start generating after the </w:t>
      </w:r>
      <w:r w:rsidR="00E654F4" w:rsidRPr="00D45A67">
        <w:t>Heywood-Portland-</w:t>
      </w:r>
      <w:proofErr w:type="spellStart"/>
      <w:r w:rsidR="00E654F4" w:rsidRPr="00D45A67">
        <w:t>Tarrone</w:t>
      </w:r>
      <w:proofErr w:type="spellEnd"/>
      <w:r w:rsidR="00E654F4" w:rsidRPr="00D45A67">
        <w:t xml:space="preserve"> </w:t>
      </w:r>
      <w:r>
        <w:t xml:space="preserve">outage had been completed at 5.30 pm. At around 5 pm the </w:t>
      </w:r>
      <w:r w:rsidR="005639BD">
        <w:t xml:space="preserve">network </w:t>
      </w:r>
      <w:r>
        <w:t xml:space="preserve">outage was extended. At 5.40 pm Mortlake received a target to generate and by 5.50 pm was targeted at 180 MW. </w:t>
      </w:r>
      <w:r w:rsidR="00CF58BA">
        <w:t xml:space="preserve">Flow on the </w:t>
      </w:r>
      <w:r>
        <w:t xml:space="preserve">Heywood interconnector changed from importing 250 MW into South Australia at 5.45 pm to </w:t>
      </w:r>
      <w:r w:rsidR="001244BE">
        <w:t>force</w:t>
      </w:r>
      <w:r w:rsidR="00CF58BA">
        <w:t>d</w:t>
      </w:r>
      <w:r w:rsidR="001244BE">
        <w:t xml:space="preserve"> </w:t>
      </w:r>
      <w:r>
        <w:lastRenderedPageBreak/>
        <w:t xml:space="preserve">export </w:t>
      </w:r>
      <w:r w:rsidR="00CF58BA">
        <w:t xml:space="preserve">of </w:t>
      </w:r>
      <w:r>
        <w:t xml:space="preserve">55 MW to Victoria at 5.50 pm. South Australia </w:t>
      </w:r>
      <w:r w:rsidR="001454E5">
        <w:t xml:space="preserve">requires Local FCAS lower services when power flows from South Australia to Victoria </w:t>
      </w:r>
      <w:r w:rsidR="009A5768">
        <w:t xml:space="preserve">which could only be met by high-priced capacity </w:t>
      </w:r>
      <w:r>
        <w:t>and the price exceeded $5000/MW as shown in the below table.</w:t>
      </w:r>
      <w:r w:rsidR="004416FC">
        <w:t xml:space="preserve"> These prices were not forecast</w:t>
      </w:r>
    </w:p>
    <w:p w:rsidR="0013226B" w:rsidRDefault="0013226B" w:rsidP="00A422C3">
      <w:pPr>
        <w:outlineLvl w:val="0"/>
      </w:pPr>
    </w:p>
    <w:p w:rsidR="0013226B" w:rsidRDefault="0013226B" w:rsidP="009A5768">
      <w:pPr>
        <w:pStyle w:val="AERtabletitle"/>
      </w:pPr>
      <w:r>
        <w:t xml:space="preserve"> Spotlight </w:t>
      </w:r>
      <w:r w:rsidRPr="007556DA">
        <w:t xml:space="preserve">Table 1: </w:t>
      </w:r>
      <w:r>
        <w:t>Lower FCAS requirements and prices</w:t>
      </w:r>
    </w:p>
    <w:tbl>
      <w:tblPr>
        <w:tblW w:w="0" w:type="auto"/>
        <w:tblBorders>
          <w:top w:val="single" w:sz="8" w:space="0" w:color="7BA0CD"/>
          <w:bottom w:val="single" w:sz="8" w:space="0" w:color="7BA0CD"/>
        </w:tblBorders>
        <w:tblLook w:val="04A0" w:firstRow="1" w:lastRow="0" w:firstColumn="1" w:lastColumn="0" w:noHBand="0" w:noVBand="1"/>
      </w:tblPr>
      <w:tblGrid>
        <w:gridCol w:w="812"/>
        <w:gridCol w:w="1194"/>
        <w:gridCol w:w="876"/>
        <w:gridCol w:w="1194"/>
        <w:gridCol w:w="871"/>
        <w:gridCol w:w="1194"/>
        <w:gridCol w:w="1046"/>
        <w:gridCol w:w="1194"/>
        <w:gridCol w:w="861"/>
      </w:tblGrid>
      <w:tr w:rsidR="003C2645" w:rsidRPr="007556DA" w:rsidTr="00795842">
        <w:trPr>
          <w:trHeight w:hRule="exact" w:val="454"/>
        </w:trPr>
        <w:tc>
          <w:tcPr>
            <w:tcW w:w="0" w:type="auto"/>
            <w:tcBorders>
              <w:bottom w:val="nil"/>
            </w:tcBorders>
            <w:shd w:val="clear" w:color="auto" w:fill="4A442A"/>
            <w:noWrap/>
            <w:vAlign w:val="center"/>
          </w:tcPr>
          <w:p w:rsidR="003C2645" w:rsidRDefault="003C2645" w:rsidP="00E5772C">
            <w:pPr>
              <w:jc w:val="center"/>
              <w:rPr>
                <w:rFonts w:cs="Gautami"/>
                <w:b/>
                <w:bCs/>
                <w:color w:val="FFFFFF"/>
                <w:sz w:val="16"/>
                <w:szCs w:val="16"/>
              </w:rPr>
            </w:pPr>
          </w:p>
        </w:tc>
        <w:tc>
          <w:tcPr>
            <w:tcW w:w="2070" w:type="dxa"/>
            <w:gridSpan w:val="2"/>
            <w:tcBorders>
              <w:bottom w:val="nil"/>
            </w:tcBorders>
            <w:shd w:val="clear" w:color="auto" w:fill="4A442A"/>
            <w:noWrap/>
            <w:vAlign w:val="center"/>
          </w:tcPr>
          <w:p w:rsidR="003C2645" w:rsidRDefault="003C2645" w:rsidP="00E5772C">
            <w:pPr>
              <w:jc w:val="center"/>
              <w:rPr>
                <w:rFonts w:cs="Gautami"/>
                <w:b/>
                <w:bCs/>
                <w:color w:val="FFFFFF"/>
                <w:sz w:val="16"/>
                <w:szCs w:val="16"/>
              </w:rPr>
            </w:pPr>
            <w:r>
              <w:rPr>
                <w:rFonts w:cs="Gautami"/>
                <w:b/>
                <w:bCs/>
                <w:color w:val="FFFFFF"/>
                <w:sz w:val="16"/>
                <w:szCs w:val="16"/>
              </w:rPr>
              <w:t xml:space="preserve">Lower </w:t>
            </w:r>
            <w:proofErr w:type="spellStart"/>
            <w:r>
              <w:rPr>
                <w:rFonts w:cs="Gautami"/>
                <w:b/>
                <w:bCs/>
                <w:color w:val="FFFFFF"/>
                <w:sz w:val="16"/>
                <w:szCs w:val="16"/>
              </w:rPr>
              <w:t>reg</w:t>
            </w:r>
            <w:proofErr w:type="spellEnd"/>
          </w:p>
        </w:tc>
        <w:tc>
          <w:tcPr>
            <w:tcW w:w="2065" w:type="dxa"/>
            <w:gridSpan w:val="2"/>
            <w:tcBorders>
              <w:bottom w:val="nil"/>
            </w:tcBorders>
            <w:shd w:val="clear" w:color="auto" w:fill="4A442A"/>
            <w:noWrap/>
            <w:vAlign w:val="center"/>
          </w:tcPr>
          <w:p w:rsidR="003C2645" w:rsidRDefault="003C2645" w:rsidP="00795842">
            <w:pPr>
              <w:jc w:val="center"/>
              <w:rPr>
                <w:rFonts w:cs="Gautami"/>
                <w:b/>
                <w:bCs/>
                <w:color w:val="FFFFFF"/>
                <w:sz w:val="16"/>
                <w:szCs w:val="16"/>
              </w:rPr>
            </w:pPr>
            <w:r>
              <w:rPr>
                <w:rFonts w:cs="Gautami"/>
                <w:b/>
                <w:bCs/>
                <w:color w:val="FFFFFF"/>
                <w:sz w:val="16"/>
                <w:szCs w:val="16"/>
              </w:rPr>
              <w:t>Lower 6 sec</w:t>
            </w:r>
          </w:p>
        </w:tc>
        <w:tc>
          <w:tcPr>
            <w:tcW w:w="2240" w:type="dxa"/>
            <w:gridSpan w:val="2"/>
            <w:tcBorders>
              <w:bottom w:val="nil"/>
            </w:tcBorders>
            <w:shd w:val="clear" w:color="auto" w:fill="4A442A"/>
            <w:vAlign w:val="center"/>
          </w:tcPr>
          <w:p w:rsidR="003C2645" w:rsidRDefault="003C2645" w:rsidP="00795842">
            <w:pPr>
              <w:jc w:val="center"/>
              <w:rPr>
                <w:rFonts w:cs="Gautami"/>
                <w:b/>
                <w:bCs/>
                <w:color w:val="FFFFFF"/>
                <w:sz w:val="16"/>
                <w:szCs w:val="16"/>
              </w:rPr>
            </w:pPr>
            <w:r>
              <w:rPr>
                <w:rFonts w:cs="Gautami"/>
                <w:b/>
                <w:bCs/>
                <w:color w:val="FFFFFF"/>
                <w:sz w:val="16"/>
                <w:szCs w:val="16"/>
              </w:rPr>
              <w:t>Lower 60 sec</w:t>
            </w:r>
          </w:p>
        </w:tc>
        <w:tc>
          <w:tcPr>
            <w:tcW w:w="2055" w:type="dxa"/>
            <w:gridSpan w:val="2"/>
            <w:tcBorders>
              <w:bottom w:val="nil"/>
            </w:tcBorders>
            <w:shd w:val="clear" w:color="auto" w:fill="4A442A"/>
            <w:vAlign w:val="center"/>
          </w:tcPr>
          <w:p w:rsidR="003C2645" w:rsidRDefault="003C2645" w:rsidP="00795842">
            <w:pPr>
              <w:jc w:val="center"/>
              <w:rPr>
                <w:rFonts w:cs="Gautami"/>
                <w:b/>
                <w:bCs/>
                <w:color w:val="FFFFFF"/>
                <w:sz w:val="16"/>
                <w:szCs w:val="16"/>
              </w:rPr>
            </w:pPr>
            <w:r>
              <w:rPr>
                <w:rFonts w:cs="Gautami"/>
                <w:b/>
                <w:bCs/>
                <w:color w:val="FFFFFF"/>
                <w:sz w:val="16"/>
                <w:szCs w:val="16"/>
              </w:rPr>
              <w:t>Lower 5 min</w:t>
            </w:r>
          </w:p>
        </w:tc>
      </w:tr>
      <w:tr w:rsidR="003C2645" w:rsidRPr="007556DA" w:rsidTr="003C2645">
        <w:trPr>
          <w:trHeight w:hRule="exact" w:val="454"/>
        </w:trPr>
        <w:tc>
          <w:tcPr>
            <w:tcW w:w="0" w:type="auto"/>
            <w:tcBorders>
              <w:bottom w:val="nil"/>
            </w:tcBorders>
            <w:shd w:val="clear" w:color="auto" w:fill="4A442A"/>
            <w:noWrap/>
            <w:vAlign w:val="center"/>
          </w:tcPr>
          <w:p w:rsidR="003C2645" w:rsidRPr="00E5772C" w:rsidRDefault="003C2645" w:rsidP="00E5772C">
            <w:pPr>
              <w:jc w:val="center"/>
              <w:rPr>
                <w:rFonts w:cs="Gautami"/>
                <w:b/>
                <w:bCs/>
                <w:color w:val="FFFFFF"/>
                <w:sz w:val="16"/>
                <w:szCs w:val="16"/>
              </w:rPr>
            </w:pPr>
            <w:r>
              <w:rPr>
                <w:rFonts w:cs="Gautami"/>
                <w:b/>
                <w:bCs/>
                <w:color w:val="FFFFFF"/>
                <w:sz w:val="16"/>
                <w:szCs w:val="16"/>
              </w:rPr>
              <w:t>Time</w:t>
            </w:r>
          </w:p>
        </w:tc>
        <w:tc>
          <w:tcPr>
            <w:tcW w:w="1194" w:type="dxa"/>
            <w:tcBorders>
              <w:bottom w:val="nil"/>
            </w:tcBorders>
            <w:shd w:val="clear" w:color="auto" w:fill="4A442A"/>
            <w:noWrap/>
            <w:vAlign w:val="center"/>
          </w:tcPr>
          <w:p w:rsidR="003C2645" w:rsidRPr="00E5772C" w:rsidRDefault="003C2645" w:rsidP="00E5772C">
            <w:pPr>
              <w:jc w:val="center"/>
              <w:rPr>
                <w:rFonts w:cs="Gautami"/>
                <w:b/>
                <w:bCs/>
                <w:color w:val="FFFFFF"/>
                <w:sz w:val="16"/>
                <w:szCs w:val="16"/>
              </w:rPr>
            </w:pPr>
            <w:r>
              <w:rPr>
                <w:rFonts w:cs="Gautami"/>
                <w:b/>
                <w:bCs/>
                <w:color w:val="FFFFFF"/>
                <w:sz w:val="16"/>
                <w:szCs w:val="16"/>
              </w:rPr>
              <w:t>Requirement MW</w:t>
            </w:r>
          </w:p>
        </w:tc>
        <w:tc>
          <w:tcPr>
            <w:tcW w:w="876" w:type="dxa"/>
            <w:tcBorders>
              <w:bottom w:val="nil"/>
            </w:tcBorders>
            <w:shd w:val="clear" w:color="auto" w:fill="4A442A"/>
            <w:vAlign w:val="center"/>
          </w:tcPr>
          <w:p w:rsidR="003C2645" w:rsidRPr="00E5772C" w:rsidRDefault="003C2645" w:rsidP="00E5772C">
            <w:pPr>
              <w:jc w:val="center"/>
              <w:rPr>
                <w:rFonts w:cs="Gautami"/>
                <w:b/>
                <w:bCs/>
                <w:color w:val="FFFFFF"/>
                <w:sz w:val="16"/>
                <w:szCs w:val="16"/>
              </w:rPr>
            </w:pPr>
            <w:r>
              <w:rPr>
                <w:rFonts w:cs="Gautami"/>
                <w:b/>
                <w:bCs/>
                <w:color w:val="FFFFFF"/>
                <w:sz w:val="16"/>
                <w:szCs w:val="16"/>
              </w:rPr>
              <w:t>Price $/MW</w:t>
            </w:r>
          </w:p>
        </w:tc>
        <w:tc>
          <w:tcPr>
            <w:tcW w:w="1194" w:type="dxa"/>
            <w:tcBorders>
              <w:bottom w:val="nil"/>
            </w:tcBorders>
            <w:shd w:val="clear" w:color="auto" w:fill="4A442A"/>
            <w:noWrap/>
            <w:vAlign w:val="center"/>
          </w:tcPr>
          <w:p w:rsidR="003C2645" w:rsidRPr="00E5772C" w:rsidRDefault="003C2645" w:rsidP="00795842">
            <w:pPr>
              <w:jc w:val="center"/>
              <w:rPr>
                <w:rFonts w:cs="Gautami"/>
                <w:b/>
                <w:bCs/>
                <w:color w:val="FFFFFF"/>
                <w:sz w:val="16"/>
                <w:szCs w:val="16"/>
              </w:rPr>
            </w:pPr>
            <w:r>
              <w:rPr>
                <w:rFonts w:cs="Gautami"/>
                <w:b/>
                <w:bCs/>
                <w:color w:val="FFFFFF"/>
                <w:sz w:val="16"/>
                <w:szCs w:val="16"/>
              </w:rPr>
              <w:t>Requirement MW</w:t>
            </w:r>
          </w:p>
        </w:tc>
        <w:tc>
          <w:tcPr>
            <w:tcW w:w="871" w:type="dxa"/>
            <w:tcBorders>
              <w:bottom w:val="nil"/>
            </w:tcBorders>
            <w:shd w:val="clear" w:color="auto" w:fill="4A442A"/>
            <w:vAlign w:val="center"/>
          </w:tcPr>
          <w:p w:rsidR="003C2645" w:rsidRPr="00E5772C" w:rsidRDefault="003C2645" w:rsidP="00795842">
            <w:pPr>
              <w:jc w:val="center"/>
              <w:rPr>
                <w:rFonts w:cs="Gautami"/>
                <w:b/>
                <w:bCs/>
                <w:color w:val="FFFFFF"/>
                <w:sz w:val="16"/>
                <w:szCs w:val="16"/>
              </w:rPr>
            </w:pPr>
            <w:r>
              <w:rPr>
                <w:rFonts w:cs="Gautami"/>
                <w:b/>
                <w:bCs/>
                <w:color w:val="FFFFFF"/>
                <w:sz w:val="16"/>
                <w:szCs w:val="16"/>
              </w:rPr>
              <w:t>Price $/MW</w:t>
            </w:r>
          </w:p>
        </w:tc>
        <w:tc>
          <w:tcPr>
            <w:tcW w:w="1194" w:type="dxa"/>
            <w:tcBorders>
              <w:bottom w:val="nil"/>
            </w:tcBorders>
            <w:shd w:val="clear" w:color="auto" w:fill="4A442A"/>
            <w:vAlign w:val="center"/>
          </w:tcPr>
          <w:p w:rsidR="003C2645" w:rsidRPr="00E5772C" w:rsidRDefault="003C2645" w:rsidP="00795842">
            <w:pPr>
              <w:jc w:val="center"/>
              <w:rPr>
                <w:rFonts w:cs="Gautami"/>
                <w:b/>
                <w:bCs/>
                <w:color w:val="FFFFFF"/>
                <w:sz w:val="16"/>
                <w:szCs w:val="16"/>
              </w:rPr>
            </w:pPr>
            <w:r>
              <w:rPr>
                <w:rFonts w:cs="Gautami"/>
                <w:b/>
                <w:bCs/>
                <w:color w:val="FFFFFF"/>
                <w:sz w:val="16"/>
                <w:szCs w:val="16"/>
              </w:rPr>
              <w:t>Requirement MW</w:t>
            </w:r>
          </w:p>
        </w:tc>
        <w:tc>
          <w:tcPr>
            <w:tcW w:w="1046" w:type="dxa"/>
            <w:tcBorders>
              <w:bottom w:val="nil"/>
            </w:tcBorders>
            <w:shd w:val="clear" w:color="auto" w:fill="4A442A"/>
            <w:noWrap/>
            <w:vAlign w:val="center"/>
          </w:tcPr>
          <w:p w:rsidR="003C2645" w:rsidRPr="00E5772C" w:rsidRDefault="003C2645" w:rsidP="00795842">
            <w:pPr>
              <w:jc w:val="center"/>
              <w:rPr>
                <w:rFonts w:cs="Gautami"/>
                <w:b/>
                <w:bCs/>
                <w:color w:val="FFFFFF"/>
                <w:sz w:val="16"/>
                <w:szCs w:val="16"/>
              </w:rPr>
            </w:pPr>
            <w:r>
              <w:rPr>
                <w:rFonts w:cs="Gautami"/>
                <w:b/>
                <w:bCs/>
                <w:color w:val="FFFFFF"/>
                <w:sz w:val="16"/>
                <w:szCs w:val="16"/>
              </w:rPr>
              <w:t>Price $/MW</w:t>
            </w:r>
          </w:p>
        </w:tc>
        <w:tc>
          <w:tcPr>
            <w:tcW w:w="1194" w:type="dxa"/>
            <w:tcBorders>
              <w:bottom w:val="nil"/>
            </w:tcBorders>
            <w:shd w:val="clear" w:color="auto" w:fill="4A442A"/>
            <w:vAlign w:val="center"/>
          </w:tcPr>
          <w:p w:rsidR="003C2645" w:rsidRPr="00E5772C" w:rsidRDefault="003C2645" w:rsidP="00795842">
            <w:pPr>
              <w:jc w:val="center"/>
              <w:rPr>
                <w:rFonts w:cs="Gautami"/>
                <w:b/>
                <w:bCs/>
                <w:color w:val="FFFFFF"/>
                <w:sz w:val="16"/>
                <w:szCs w:val="16"/>
              </w:rPr>
            </w:pPr>
            <w:r>
              <w:rPr>
                <w:rFonts w:cs="Gautami"/>
                <w:b/>
                <w:bCs/>
                <w:color w:val="FFFFFF"/>
                <w:sz w:val="16"/>
                <w:szCs w:val="16"/>
              </w:rPr>
              <w:t>Requirement MW</w:t>
            </w:r>
          </w:p>
        </w:tc>
        <w:tc>
          <w:tcPr>
            <w:tcW w:w="861" w:type="dxa"/>
            <w:tcBorders>
              <w:bottom w:val="nil"/>
            </w:tcBorders>
            <w:shd w:val="clear" w:color="auto" w:fill="4A442A"/>
            <w:vAlign w:val="center"/>
          </w:tcPr>
          <w:p w:rsidR="003C2645" w:rsidRPr="00E5772C" w:rsidRDefault="003C2645" w:rsidP="00795842">
            <w:pPr>
              <w:jc w:val="center"/>
              <w:rPr>
                <w:rFonts w:cs="Gautami"/>
                <w:b/>
                <w:bCs/>
                <w:color w:val="FFFFFF"/>
                <w:sz w:val="16"/>
                <w:szCs w:val="16"/>
              </w:rPr>
            </w:pPr>
            <w:r>
              <w:rPr>
                <w:rFonts w:cs="Gautami"/>
                <w:b/>
                <w:bCs/>
                <w:color w:val="FFFFFF"/>
                <w:sz w:val="16"/>
                <w:szCs w:val="16"/>
              </w:rPr>
              <w:t>Price $/MW</w:t>
            </w:r>
          </w:p>
        </w:tc>
      </w:tr>
      <w:tr w:rsidR="003C2645" w:rsidRPr="007556DA" w:rsidTr="003C2645">
        <w:trPr>
          <w:trHeight w:hRule="exact" w:val="454"/>
        </w:trPr>
        <w:tc>
          <w:tcPr>
            <w:tcW w:w="0" w:type="auto"/>
            <w:tcBorders>
              <w:top w:val="nil"/>
              <w:bottom w:val="nil"/>
            </w:tcBorders>
            <w:shd w:val="clear" w:color="auto" w:fill="DDD9C3"/>
            <w:noWrap/>
            <w:vAlign w:val="center"/>
          </w:tcPr>
          <w:p w:rsidR="003C2645" w:rsidRPr="007556DA" w:rsidRDefault="003C2645" w:rsidP="00E5772C">
            <w:pPr>
              <w:rPr>
                <w:rFonts w:cs="Gautami"/>
                <w:b/>
                <w:bCs/>
                <w:sz w:val="16"/>
                <w:szCs w:val="16"/>
              </w:rPr>
            </w:pPr>
            <w:r>
              <w:rPr>
                <w:rFonts w:cs="Gautami"/>
                <w:b/>
                <w:bCs/>
                <w:sz w:val="16"/>
                <w:szCs w:val="16"/>
              </w:rPr>
              <w:t>5.55 pm</w:t>
            </w:r>
          </w:p>
        </w:tc>
        <w:tc>
          <w:tcPr>
            <w:tcW w:w="1194" w:type="dxa"/>
            <w:tcBorders>
              <w:top w:val="nil"/>
              <w:bottom w:val="nil"/>
            </w:tcBorders>
            <w:shd w:val="clear" w:color="auto" w:fill="DDD9C3"/>
            <w:noWrap/>
            <w:vAlign w:val="center"/>
          </w:tcPr>
          <w:p w:rsidR="003C2645" w:rsidRPr="003C2645" w:rsidRDefault="003C2645" w:rsidP="003C2645">
            <w:pPr>
              <w:jc w:val="center"/>
              <w:rPr>
                <w:rFonts w:cs="Gautami"/>
                <w:sz w:val="16"/>
                <w:szCs w:val="16"/>
              </w:rPr>
            </w:pPr>
            <w:r w:rsidRPr="003C2645">
              <w:rPr>
                <w:rFonts w:cs="Gautami"/>
                <w:sz w:val="16"/>
                <w:szCs w:val="16"/>
              </w:rPr>
              <w:t>38.72</w:t>
            </w:r>
          </w:p>
        </w:tc>
        <w:tc>
          <w:tcPr>
            <w:tcW w:w="876" w:type="dxa"/>
            <w:tcBorders>
              <w:top w:val="nil"/>
              <w:bottom w:val="nil"/>
            </w:tcBorders>
            <w:shd w:val="clear" w:color="auto" w:fill="DDD9C3"/>
            <w:vAlign w:val="center"/>
          </w:tcPr>
          <w:p w:rsidR="003C2645" w:rsidRPr="003C2645" w:rsidRDefault="003C2645" w:rsidP="003C2645">
            <w:pPr>
              <w:jc w:val="center"/>
              <w:rPr>
                <w:rFonts w:cs="Gautami"/>
                <w:sz w:val="16"/>
                <w:szCs w:val="16"/>
              </w:rPr>
            </w:pPr>
            <w:r w:rsidRPr="003C2645">
              <w:rPr>
                <w:rFonts w:cs="Gautami"/>
                <w:sz w:val="16"/>
                <w:szCs w:val="16"/>
              </w:rPr>
              <w:t>1.5</w:t>
            </w:r>
          </w:p>
        </w:tc>
        <w:tc>
          <w:tcPr>
            <w:tcW w:w="1194" w:type="dxa"/>
            <w:tcBorders>
              <w:top w:val="nil"/>
              <w:bottom w:val="nil"/>
            </w:tcBorders>
            <w:shd w:val="clear" w:color="auto" w:fill="DDD9C3"/>
            <w:noWrap/>
            <w:vAlign w:val="center"/>
          </w:tcPr>
          <w:p w:rsidR="003C2645" w:rsidRPr="003C2645" w:rsidRDefault="003C2645" w:rsidP="003C2645">
            <w:pPr>
              <w:jc w:val="center"/>
              <w:rPr>
                <w:rFonts w:cs="Gautami"/>
                <w:sz w:val="16"/>
                <w:szCs w:val="16"/>
              </w:rPr>
            </w:pPr>
            <w:r w:rsidRPr="003C2645">
              <w:rPr>
                <w:rFonts w:cs="Gautami"/>
                <w:sz w:val="16"/>
                <w:szCs w:val="16"/>
              </w:rPr>
              <w:t>72</w:t>
            </w:r>
          </w:p>
        </w:tc>
        <w:tc>
          <w:tcPr>
            <w:tcW w:w="871" w:type="dxa"/>
            <w:tcBorders>
              <w:top w:val="nil"/>
              <w:bottom w:val="nil"/>
            </w:tcBorders>
            <w:shd w:val="clear" w:color="auto" w:fill="DDD9C3"/>
            <w:vAlign w:val="center"/>
          </w:tcPr>
          <w:p w:rsidR="003C2645" w:rsidRPr="003C2645" w:rsidRDefault="003C2645" w:rsidP="003C2645">
            <w:pPr>
              <w:jc w:val="center"/>
              <w:rPr>
                <w:rFonts w:cs="Gautami"/>
                <w:sz w:val="16"/>
                <w:szCs w:val="16"/>
              </w:rPr>
            </w:pPr>
            <w:r w:rsidRPr="003C2645">
              <w:rPr>
                <w:rFonts w:cs="Gautami"/>
                <w:sz w:val="16"/>
                <w:szCs w:val="16"/>
              </w:rPr>
              <w:t>13100</w:t>
            </w:r>
          </w:p>
        </w:tc>
        <w:tc>
          <w:tcPr>
            <w:tcW w:w="1194" w:type="dxa"/>
            <w:tcBorders>
              <w:top w:val="nil"/>
              <w:bottom w:val="nil"/>
            </w:tcBorders>
            <w:shd w:val="clear" w:color="auto" w:fill="DDD9C3"/>
            <w:vAlign w:val="center"/>
          </w:tcPr>
          <w:p w:rsidR="003C2645" w:rsidRPr="003C2645" w:rsidRDefault="003C2645" w:rsidP="003C2645">
            <w:pPr>
              <w:jc w:val="center"/>
              <w:rPr>
                <w:rFonts w:cs="Gautami"/>
                <w:sz w:val="16"/>
                <w:szCs w:val="16"/>
              </w:rPr>
            </w:pPr>
            <w:r w:rsidRPr="003C2645">
              <w:rPr>
                <w:rFonts w:cs="Gautami"/>
                <w:sz w:val="16"/>
                <w:szCs w:val="16"/>
              </w:rPr>
              <w:t>121.45</w:t>
            </w:r>
          </w:p>
        </w:tc>
        <w:tc>
          <w:tcPr>
            <w:tcW w:w="1046" w:type="dxa"/>
            <w:tcBorders>
              <w:top w:val="nil"/>
              <w:bottom w:val="nil"/>
            </w:tcBorders>
            <w:shd w:val="clear" w:color="auto" w:fill="DDD9C3"/>
            <w:noWrap/>
            <w:vAlign w:val="center"/>
          </w:tcPr>
          <w:p w:rsidR="003C2645" w:rsidRPr="003C2645" w:rsidRDefault="003C2645" w:rsidP="003C2645">
            <w:pPr>
              <w:jc w:val="center"/>
              <w:rPr>
                <w:rFonts w:cs="Gautami"/>
                <w:sz w:val="16"/>
                <w:szCs w:val="16"/>
              </w:rPr>
            </w:pPr>
            <w:r w:rsidRPr="003C2645">
              <w:rPr>
                <w:rFonts w:cs="Gautami"/>
                <w:sz w:val="16"/>
                <w:szCs w:val="16"/>
              </w:rPr>
              <w:t>13100</w:t>
            </w:r>
          </w:p>
        </w:tc>
        <w:tc>
          <w:tcPr>
            <w:tcW w:w="1194" w:type="dxa"/>
            <w:tcBorders>
              <w:top w:val="nil"/>
              <w:bottom w:val="nil"/>
            </w:tcBorders>
            <w:shd w:val="clear" w:color="auto" w:fill="DDD9C3"/>
            <w:vAlign w:val="center"/>
          </w:tcPr>
          <w:p w:rsidR="003C2645" w:rsidRPr="003C2645" w:rsidRDefault="003C2645" w:rsidP="003C2645">
            <w:pPr>
              <w:jc w:val="center"/>
              <w:rPr>
                <w:rFonts w:cs="Gautami"/>
                <w:sz w:val="16"/>
                <w:szCs w:val="16"/>
              </w:rPr>
            </w:pPr>
            <w:r w:rsidRPr="003C2645">
              <w:rPr>
                <w:rFonts w:cs="Gautami"/>
                <w:sz w:val="16"/>
                <w:szCs w:val="16"/>
              </w:rPr>
              <w:t>30</w:t>
            </w:r>
          </w:p>
        </w:tc>
        <w:tc>
          <w:tcPr>
            <w:tcW w:w="861" w:type="dxa"/>
            <w:tcBorders>
              <w:top w:val="nil"/>
              <w:bottom w:val="nil"/>
            </w:tcBorders>
            <w:shd w:val="clear" w:color="auto" w:fill="DDD9C3"/>
            <w:vAlign w:val="center"/>
          </w:tcPr>
          <w:p w:rsidR="003C2645" w:rsidRPr="003C2645" w:rsidRDefault="003C2645" w:rsidP="003C2645">
            <w:pPr>
              <w:jc w:val="center"/>
              <w:rPr>
                <w:rFonts w:cs="Gautami"/>
                <w:sz w:val="16"/>
                <w:szCs w:val="16"/>
              </w:rPr>
            </w:pPr>
            <w:r w:rsidRPr="003C2645">
              <w:rPr>
                <w:rFonts w:cs="Gautami"/>
                <w:sz w:val="16"/>
                <w:szCs w:val="16"/>
              </w:rPr>
              <w:t>0.9</w:t>
            </w:r>
          </w:p>
        </w:tc>
      </w:tr>
      <w:tr w:rsidR="003C2645" w:rsidRPr="007556DA" w:rsidTr="003C2645">
        <w:trPr>
          <w:trHeight w:hRule="exact" w:val="454"/>
        </w:trPr>
        <w:tc>
          <w:tcPr>
            <w:tcW w:w="0" w:type="auto"/>
            <w:tcBorders>
              <w:top w:val="nil"/>
              <w:bottom w:val="nil"/>
            </w:tcBorders>
            <w:shd w:val="clear" w:color="auto" w:fill="EEECE1"/>
            <w:noWrap/>
            <w:vAlign w:val="center"/>
          </w:tcPr>
          <w:p w:rsidR="003C2645" w:rsidRPr="007556DA" w:rsidRDefault="003C2645" w:rsidP="00E5772C">
            <w:pPr>
              <w:rPr>
                <w:rFonts w:cs="Gautami"/>
                <w:b/>
                <w:bCs/>
                <w:sz w:val="16"/>
                <w:szCs w:val="16"/>
              </w:rPr>
            </w:pPr>
            <w:r>
              <w:rPr>
                <w:rFonts w:cs="Gautami"/>
                <w:b/>
                <w:bCs/>
                <w:sz w:val="16"/>
                <w:szCs w:val="16"/>
              </w:rPr>
              <w:t>6 pm</w:t>
            </w:r>
          </w:p>
        </w:tc>
        <w:tc>
          <w:tcPr>
            <w:tcW w:w="1194" w:type="dxa"/>
            <w:tcBorders>
              <w:top w:val="nil"/>
              <w:bottom w:val="nil"/>
            </w:tcBorders>
            <w:shd w:val="clear" w:color="auto" w:fill="EEECE1"/>
            <w:noWrap/>
            <w:vAlign w:val="center"/>
          </w:tcPr>
          <w:p w:rsidR="003C2645" w:rsidRPr="003C2645" w:rsidRDefault="003C2645" w:rsidP="003C2645">
            <w:pPr>
              <w:jc w:val="center"/>
              <w:rPr>
                <w:rFonts w:cs="Gautami"/>
                <w:sz w:val="16"/>
                <w:szCs w:val="16"/>
              </w:rPr>
            </w:pPr>
            <w:r w:rsidRPr="003C2645">
              <w:rPr>
                <w:rFonts w:cs="Gautami"/>
                <w:sz w:val="16"/>
                <w:szCs w:val="16"/>
              </w:rPr>
              <w:t>90</w:t>
            </w:r>
          </w:p>
        </w:tc>
        <w:tc>
          <w:tcPr>
            <w:tcW w:w="876" w:type="dxa"/>
            <w:tcBorders>
              <w:top w:val="nil"/>
              <w:bottom w:val="nil"/>
            </w:tcBorders>
            <w:shd w:val="clear" w:color="auto" w:fill="EEECE1"/>
            <w:vAlign w:val="center"/>
          </w:tcPr>
          <w:p w:rsidR="003C2645" w:rsidRPr="003C2645" w:rsidRDefault="003C2645" w:rsidP="003C2645">
            <w:pPr>
              <w:jc w:val="center"/>
              <w:rPr>
                <w:rFonts w:cs="Gautami"/>
                <w:sz w:val="16"/>
                <w:szCs w:val="16"/>
              </w:rPr>
            </w:pPr>
            <w:r w:rsidRPr="003C2645">
              <w:rPr>
                <w:rFonts w:cs="Gautami"/>
                <w:sz w:val="16"/>
                <w:szCs w:val="16"/>
              </w:rPr>
              <w:t>9000</w:t>
            </w:r>
          </w:p>
        </w:tc>
        <w:tc>
          <w:tcPr>
            <w:tcW w:w="1194" w:type="dxa"/>
            <w:tcBorders>
              <w:top w:val="nil"/>
              <w:bottom w:val="nil"/>
            </w:tcBorders>
            <w:shd w:val="clear" w:color="auto" w:fill="EEECE1"/>
            <w:noWrap/>
            <w:vAlign w:val="center"/>
          </w:tcPr>
          <w:p w:rsidR="003C2645" w:rsidRPr="003C2645" w:rsidRDefault="003C2645" w:rsidP="003C2645">
            <w:pPr>
              <w:jc w:val="center"/>
              <w:rPr>
                <w:rFonts w:cs="Gautami"/>
                <w:sz w:val="16"/>
                <w:szCs w:val="16"/>
              </w:rPr>
            </w:pPr>
            <w:r w:rsidRPr="003C2645">
              <w:rPr>
                <w:rFonts w:cs="Gautami"/>
                <w:sz w:val="16"/>
                <w:szCs w:val="16"/>
              </w:rPr>
              <w:t>72</w:t>
            </w:r>
          </w:p>
        </w:tc>
        <w:tc>
          <w:tcPr>
            <w:tcW w:w="871" w:type="dxa"/>
            <w:tcBorders>
              <w:top w:val="nil"/>
              <w:bottom w:val="nil"/>
            </w:tcBorders>
            <w:shd w:val="clear" w:color="auto" w:fill="EEECE1"/>
            <w:vAlign w:val="center"/>
          </w:tcPr>
          <w:p w:rsidR="003C2645" w:rsidRPr="003C2645" w:rsidRDefault="003C2645" w:rsidP="003C2645">
            <w:pPr>
              <w:jc w:val="center"/>
              <w:rPr>
                <w:rFonts w:cs="Gautami"/>
                <w:sz w:val="16"/>
                <w:szCs w:val="16"/>
              </w:rPr>
            </w:pPr>
            <w:r w:rsidRPr="003C2645">
              <w:rPr>
                <w:rFonts w:cs="Gautami"/>
                <w:sz w:val="16"/>
                <w:szCs w:val="16"/>
              </w:rPr>
              <w:t>13100</w:t>
            </w:r>
          </w:p>
        </w:tc>
        <w:tc>
          <w:tcPr>
            <w:tcW w:w="1194" w:type="dxa"/>
            <w:tcBorders>
              <w:top w:val="nil"/>
              <w:bottom w:val="nil"/>
            </w:tcBorders>
            <w:shd w:val="clear" w:color="auto" w:fill="EEECE1"/>
            <w:vAlign w:val="center"/>
          </w:tcPr>
          <w:p w:rsidR="003C2645" w:rsidRPr="003C2645" w:rsidRDefault="003C2645" w:rsidP="003C2645">
            <w:pPr>
              <w:jc w:val="center"/>
              <w:rPr>
                <w:rFonts w:cs="Gautami"/>
                <w:sz w:val="16"/>
                <w:szCs w:val="16"/>
              </w:rPr>
            </w:pPr>
            <w:r w:rsidRPr="003C2645">
              <w:rPr>
                <w:rFonts w:cs="Gautami"/>
                <w:sz w:val="16"/>
                <w:szCs w:val="16"/>
              </w:rPr>
              <w:t>153</w:t>
            </w:r>
          </w:p>
        </w:tc>
        <w:tc>
          <w:tcPr>
            <w:tcW w:w="1046" w:type="dxa"/>
            <w:tcBorders>
              <w:top w:val="nil"/>
              <w:bottom w:val="nil"/>
            </w:tcBorders>
            <w:shd w:val="clear" w:color="auto" w:fill="EEECE1"/>
            <w:noWrap/>
            <w:vAlign w:val="center"/>
          </w:tcPr>
          <w:p w:rsidR="003C2645" w:rsidRPr="003C2645" w:rsidRDefault="003C2645" w:rsidP="003C2645">
            <w:pPr>
              <w:jc w:val="center"/>
              <w:rPr>
                <w:rFonts w:cs="Gautami"/>
                <w:sz w:val="16"/>
                <w:szCs w:val="16"/>
              </w:rPr>
            </w:pPr>
            <w:r w:rsidRPr="003C2645">
              <w:rPr>
                <w:rFonts w:cs="Gautami"/>
                <w:sz w:val="16"/>
                <w:szCs w:val="16"/>
              </w:rPr>
              <w:t>13100</w:t>
            </w:r>
          </w:p>
        </w:tc>
        <w:tc>
          <w:tcPr>
            <w:tcW w:w="1194" w:type="dxa"/>
            <w:tcBorders>
              <w:top w:val="nil"/>
              <w:bottom w:val="nil"/>
            </w:tcBorders>
            <w:shd w:val="clear" w:color="auto" w:fill="EEECE1"/>
            <w:vAlign w:val="center"/>
          </w:tcPr>
          <w:p w:rsidR="003C2645" w:rsidRPr="003C2645" w:rsidRDefault="003C2645" w:rsidP="003C2645">
            <w:pPr>
              <w:jc w:val="center"/>
              <w:rPr>
                <w:rFonts w:cs="Gautami"/>
                <w:sz w:val="16"/>
                <w:szCs w:val="16"/>
              </w:rPr>
            </w:pPr>
            <w:r w:rsidRPr="003C2645">
              <w:rPr>
                <w:rFonts w:cs="Gautami"/>
                <w:sz w:val="16"/>
                <w:szCs w:val="16"/>
              </w:rPr>
              <w:t>50.17</w:t>
            </w:r>
          </w:p>
        </w:tc>
        <w:tc>
          <w:tcPr>
            <w:tcW w:w="861" w:type="dxa"/>
            <w:tcBorders>
              <w:top w:val="nil"/>
              <w:bottom w:val="nil"/>
            </w:tcBorders>
            <w:shd w:val="clear" w:color="auto" w:fill="EEECE1"/>
            <w:vAlign w:val="center"/>
          </w:tcPr>
          <w:p w:rsidR="003C2645" w:rsidRPr="003C2645" w:rsidRDefault="003C2645" w:rsidP="003C2645">
            <w:pPr>
              <w:jc w:val="center"/>
              <w:rPr>
                <w:rFonts w:cs="Gautami"/>
                <w:sz w:val="16"/>
                <w:szCs w:val="16"/>
              </w:rPr>
            </w:pPr>
            <w:r w:rsidRPr="003C2645">
              <w:rPr>
                <w:rFonts w:cs="Gautami"/>
                <w:sz w:val="16"/>
                <w:szCs w:val="16"/>
              </w:rPr>
              <w:t>9000</w:t>
            </w:r>
          </w:p>
        </w:tc>
      </w:tr>
    </w:tbl>
    <w:p w:rsidR="00A422C3" w:rsidRDefault="00A422C3" w:rsidP="00A422C3"/>
    <w:p w:rsidR="002D67EB" w:rsidRDefault="002D67EB" w:rsidP="00A422C3">
      <w:pPr>
        <w:rPr>
          <w:b/>
        </w:rPr>
      </w:pPr>
    </w:p>
    <w:p w:rsidR="00795842" w:rsidRPr="004416FC" w:rsidRDefault="00795842" w:rsidP="00A422C3">
      <w:pPr>
        <w:rPr>
          <w:b/>
        </w:rPr>
      </w:pPr>
      <w:r w:rsidRPr="004416FC">
        <w:rPr>
          <w:b/>
        </w:rPr>
        <w:t>10 September</w:t>
      </w:r>
    </w:p>
    <w:p w:rsidR="00795842" w:rsidRDefault="00795842" w:rsidP="00A422C3"/>
    <w:p w:rsidR="007C01C3" w:rsidRDefault="007C01C3" w:rsidP="00A422C3">
      <w:r>
        <w:t>At around 3.55 pm ramping constraints were invoked in preparation for the outage which forced flow out of South Australia into Victoria. By 4.35 pm flows were being forced into Victoria at 106 </w:t>
      </w:r>
      <w:r w:rsidR="004D7886">
        <w:t>MW. This led to an increase in requirements for lower 60</w:t>
      </w:r>
      <w:r w:rsidR="00691FE1">
        <w:t xml:space="preserve"> </w:t>
      </w:r>
      <w:r w:rsidR="004D7886">
        <w:t>sec services which could only be met by high-priced capacity and the price reached the price cap as shown in the table</w:t>
      </w:r>
      <w:r w:rsidR="008E2C5F" w:rsidRPr="008E2C5F">
        <w:t xml:space="preserve"> </w:t>
      </w:r>
      <w:r w:rsidR="008E2C5F">
        <w:t>below</w:t>
      </w:r>
      <w:r w:rsidR="004D7886">
        <w:t>. These prices were forecast.</w:t>
      </w:r>
    </w:p>
    <w:p w:rsidR="004416FC" w:rsidRDefault="004416FC" w:rsidP="00A422C3"/>
    <w:p w:rsidR="004416FC" w:rsidRDefault="004416FC" w:rsidP="004416FC">
      <w:pPr>
        <w:pStyle w:val="AERtabletitle"/>
      </w:pPr>
      <w:r>
        <w:t xml:space="preserve">Spotlight </w:t>
      </w:r>
      <w:r w:rsidRPr="007556DA">
        <w:t xml:space="preserve">Table </w:t>
      </w:r>
      <w:r>
        <w:t>2</w:t>
      </w:r>
      <w:r w:rsidRPr="007556DA">
        <w:t xml:space="preserve">: </w:t>
      </w:r>
      <w:r>
        <w:t>Lower FCAS requirements and prices</w:t>
      </w:r>
    </w:p>
    <w:tbl>
      <w:tblPr>
        <w:tblW w:w="0" w:type="auto"/>
        <w:tblBorders>
          <w:top w:val="single" w:sz="8" w:space="0" w:color="7BA0CD"/>
          <w:bottom w:val="single" w:sz="8" w:space="0" w:color="7BA0CD"/>
        </w:tblBorders>
        <w:tblLook w:val="04A0" w:firstRow="1" w:lastRow="0" w:firstColumn="1" w:lastColumn="0" w:noHBand="0" w:noVBand="1"/>
      </w:tblPr>
      <w:tblGrid>
        <w:gridCol w:w="812"/>
        <w:gridCol w:w="1194"/>
        <w:gridCol w:w="1046"/>
      </w:tblGrid>
      <w:tr w:rsidR="00795842" w:rsidRPr="007556DA" w:rsidTr="00795842">
        <w:trPr>
          <w:trHeight w:hRule="exact" w:val="454"/>
        </w:trPr>
        <w:tc>
          <w:tcPr>
            <w:tcW w:w="0" w:type="auto"/>
            <w:tcBorders>
              <w:bottom w:val="nil"/>
            </w:tcBorders>
            <w:shd w:val="clear" w:color="auto" w:fill="4A442A"/>
            <w:noWrap/>
            <w:vAlign w:val="center"/>
          </w:tcPr>
          <w:p w:rsidR="00795842" w:rsidRDefault="00795842" w:rsidP="00795842">
            <w:pPr>
              <w:jc w:val="center"/>
              <w:rPr>
                <w:rFonts w:cs="Gautami"/>
                <w:b/>
                <w:bCs/>
                <w:color w:val="FFFFFF"/>
                <w:sz w:val="16"/>
                <w:szCs w:val="16"/>
              </w:rPr>
            </w:pPr>
          </w:p>
        </w:tc>
        <w:tc>
          <w:tcPr>
            <w:tcW w:w="2240" w:type="dxa"/>
            <w:gridSpan w:val="2"/>
            <w:tcBorders>
              <w:bottom w:val="nil"/>
            </w:tcBorders>
            <w:shd w:val="clear" w:color="auto" w:fill="4A442A"/>
            <w:vAlign w:val="center"/>
          </w:tcPr>
          <w:p w:rsidR="00795842" w:rsidRDefault="00795842" w:rsidP="00795842">
            <w:pPr>
              <w:jc w:val="center"/>
              <w:rPr>
                <w:rFonts w:cs="Gautami"/>
                <w:b/>
                <w:bCs/>
                <w:color w:val="FFFFFF"/>
                <w:sz w:val="16"/>
                <w:szCs w:val="16"/>
              </w:rPr>
            </w:pPr>
            <w:r>
              <w:rPr>
                <w:rFonts w:cs="Gautami"/>
                <w:b/>
                <w:bCs/>
                <w:color w:val="FFFFFF"/>
                <w:sz w:val="16"/>
                <w:szCs w:val="16"/>
              </w:rPr>
              <w:t>Lower 60 sec</w:t>
            </w:r>
          </w:p>
        </w:tc>
      </w:tr>
      <w:tr w:rsidR="00795842" w:rsidRPr="007556DA" w:rsidTr="00795842">
        <w:trPr>
          <w:trHeight w:hRule="exact" w:val="454"/>
        </w:trPr>
        <w:tc>
          <w:tcPr>
            <w:tcW w:w="0" w:type="auto"/>
            <w:tcBorders>
              <w:bottom w:val="nil"/>
            </w:tcBorders>
            <w:shd w:val="clear" w:color="auto" w:fill="4A442A"/>
            <w:noWrap/>
            <w:vAlign w:val="center"/>
          </w:tcPr>
          <w:p w:rsidR="00795842" w:rsidRPr="00E5772C" w:rsidRDefault="00795842" w:rsidP="00795842">
            <w:pPr>
              <w:jc w:val="center"/>
              <w:rPr>
                <w:rFonts w:cs="Gautami"/>
                <w:b/>
                <w:bCs/>
                <w:color w:val="FFFFFF"/>
                <w:sz w:val="16"/>
                <w:szCs w:val="16"/>
              </w:rPr>
            </w:pPr>
            <w:r>
              <w:rPr>
                <w:rFonts w:cs="Gautami"/>
                <w:b/>
                <w:bCs/>
                <w:color w:val="FFFFFF"/>
                <w:sz w:val="16"/>
                <w:szCs w:val="16"/>
              </w:rPr>
              <w:t>Time</w:t>
            </w:r>
          </w:p>
        </w:tc>
        <w:tc>
          <w:tcPr>
            <w:tcW w:w="1194" w:type="dxa"/>
            <w:tcBorders>
              <w:bottom w:val="nil"/>
            </w:tcBorders>
            <w:shd w:val="clear" w:color="auto" w:fill="4A442A"/>
            <w:vAlign w:val="center"/>
          </w:tcPr>
          <w:p w:rsidR="00795842" w:rsidRPr="00E5772C" w:rsidRDefault="00795842" w:rsidP="00795842">
            <w:pPr>
              <w:jc w:val="center"/>
              <w:rPr>
                <w:rFonts w:cs="Gautami"/>
                <w:b/>
                <w:bCs/>
                <w:color w:val="FFFFFF"/>
                <w:sz w:val="16"/>
                <w:szCs w:val="16"/>
              </w:rPr>
            </w:pPr>
            <w:r>
              <w:rPr>
                <w:rFonts w:cs="Gautami"/>
                <w:b/>
                <w:bCs/>
                <w:color w:val="FFFFFF"/>
                <w:sz w:val="16"/>
                <w:szCs w:val="16"/>
              </w:rPr>
              <w:t>Requirement MW</w:t>
            </w:r>
          </w:p>
        </w:tc>
        <w:tc>
          <w:tcPr>
            <w:tcW w:w="1046" w:type="dxa"/>
            <w:tcBorders>
              <w:bottom w:val="nil"/>
            </w:tcBorders>
            <w:shd w:val="clear" w:color="auto" w:fill="4A442A"/>
            <w:noWrap/>
            <w:vAlign w:val="center"/>
          </w:tcPr>
          <w:p w:rsidR="00795842" w:rsidRPr="00E5772C" w:rsidRDefault="00795842" w:rsidP="00795842">
            <w:pPr>
              <w:jc w:val="center"/>
              <w:rPr>
                <w:rFonts w:cs="Gautami"/>
                <w:b/>
                <w:bCs/>
                <w:color w:val="FFFFFF"/>
                <w:sz w:val="16"/>
                <w:szCs w:val="16"/>
              </w:rPr>
            </w:pPr>
            <w:r>
              <w:rPr>
                <w:rFonts w:cs="Gautami"/>
                <w:b/>
                <w:bCs/>
                <w:color w:val="FFFFFF"/>
                <w:sz w:val="16"/>
                <w:szCs w:val="16"/>
              </w:rPr>
              <w:t>Price $/MW</w:t>
            </w:r>
          </w:p>
        </w:tc>
      </w:tr>
      <w:tr w:rsidR="00795842" w:rsidRPr="007556DA" w:rsidTr="00795842">
        <w:trPr>
          <w:trHeight w:hRule="exact" w:val="454"/>
        </w:trPr>
        <w:tc>
          <w:tcPr>
            <w:tcW w:w="0" w:type="auto"/>
            <w:tcBorders>
              <w:top w:val="nil"/>
              <w:bottom w:val="nil"/>
            </w:tcBorders>
            <w:shd w:val="clear" w:color="auto" w:fill="DDD9C3"/>
            <w:noWrap/>
            <w:vAlign w:val="center"/>
          </w:tcPr>
          <w:p w:rsidR="00795842" w:rsidRPr="007556DA" w:rsidRDefault="00795842" w:rsidP="00795842">
            <w:pPr>
              <w:rPr>
                <w:rFonts w:cs="Gautami"/>
                <w:b/>
                <w:bCs/>
                <w:sz w:val="16"/>
                <w:szCs w:val="16"/>
              </w:rPr>
            </w:pPr>
            <w:r>
              <w:rPr>
                <w:rFonts w:cs="Gautami"/>
                <w:b/>
                <w:bCs/>
                <w:sz w:val="16"/>
                <w:szCs w:val="16"/>
              </w:rPr>
              <w:t>4.35 pm</w:t>
            </w:r>
          </w:p>
        </w:tc>
        <w:tc>
          <w:tcPr>
            <w:tcW w:w="1194" w:type="dxa"/>
            <w:tcBorders>
              <w:top w:val="nil"/>
              <w:bottom w:val="nil"/>
            </w:tcBorders>
            <w:shd w:val="clear" w:color="auto" w:fill="DDD9C3"/>
            <w:vAlign w:val="center"/>
          </w:tcPr>
          <w:p w:rsidR="00795842" w:rsidRPr="00795842" w:rsidRDefault="00795842" w:rsidP="00795842">
            <w:pPr>
              <w:jc w:val="center"/>
              <w:rPr>
                <w:rFonts w:cs="Gautami"/>
                <w:sz w:val="16"/>
                <w:szCs w:val="16"/>
              </w:rPr>
            </w:pPr>
            <w:r w:rsidRPr="00795842">
              <w:rPr>
                <w:rFonts w:cs="Gautami"/>
                <w:sz w:val="16"/>
                <w:szCs w:val="16"/>
              </w:rPr>
              <w:t>62.83</w:t>
            </w:r>
          </w:p>
        </w:tc>
        <w:tc>
          <w:tcPr>
            <w:tcW w:w="1046" w:type="dxa"/>
            <w:tcBorders>
              <w:top w:val="nil"/>
              <w:bottom w:val="nil"/>
            </w:tcBorders>
            <w:shd w:val="clear" w:color="auto" w:fill="DDD9C3"/>
            <w:noWrap/>
            <w:vAlign w:val="center"/>
          </w:tcPr>
          <w:p w:rsidR="00795842" w:rsidRPr="003C2645" w:rsidRDefault="00795842" w:rsidP="00795842">
            <w:pPr>
              <w:jc w:val="center"/>
              <w:rPr>
                <w:rFonts w:cs="Gautami"/>
                <w:sz w:val="16"/>
                <w:szCs w:val="16"/>
              </w:rPr>
            </w:pPr>
            <w:r w:rsidRPr="003C2645">
              <w:rPr>
                <w:rFonts w:cs="Gautami"/>
                <w:sz w:val="16"/>
                <w:szCs w:val="16"/>
              </w:rPr>
              <w:t>13100</w:t>
            </w:r>
          </w:p>
        </w:tc>
      </w:tr>
      <w:tr w:rsidR="00795842" w:rsidRPr="007556DA" w:rsidTr="00795842">
        <w:trPr>
          <w:trHeight w:hRule="exact" w:val="454"/>
        </w:trPr>
        <w:tc>
          <w:tcPr>
            <w:tcW w:w="0" w:type="auto"/>
            <w:tcBorders>
              <w:top w:val="nil"/>
              <w:bottom w:val="nil"/>
            </w:tcBorders>
            <w:shd w:val="clear" w:color="auto" w:fill="EEECE1"/>
            <w:noWrap/>
            <w:vAlign w:val="center"/>
          </w:tcPr>
          <w:p w:rsidR="00795842" w:rsidRPr="007556DA" w:rsidRDefault="00795842" w:rsidP="00795842">
            <w:pPr>
              <w:rPr>
                <w:rFonts w:cs="Gautami"/>
                <w:b/>
                <w:bCs/>
                <w:sz w:val="16"/>
                <w:szCs w:val="16"/>
              </w:rPr>
            </w:pPr>
            <w:r>
              <w:rPr>
                <w:rFonts w:cs="Gautami"/>
                <w:b/>
                <w:bCs/>
                <w:sz w:val="16"/>
                <w:szCs w:val="16"/>
              </w:rPr>
              <w:t>4.40 pm</w:t>
            </w:r>
          </w:p>
        </w:tc>
        <w:tc>
          <w:tcPr>
            <w:tcW w:w="1194" w:type="dxa"/>
            <w:tcBorders>
              <w:top w:val="nil"/>
              <w:bottom w:val="nil"/>
            </w:tcBorders>
            <w:shd w:val="clear" w:color="auto" w:fill="EEECE1"/>
            <w:vAlign w:val="center"/>
          </w:tcPr>
          <w:p w:rsidR="00795842" w:rsidRPr="00795842" w:rsidRDefault="00795842" w:rsidP="00795842">
            <w:pPr>
              <w:jc w:val="center"/>
              <w:rPr>
                <w:rFonts w:cs="Gautami"/>
                <w:sz w:val="16"/>
                <w:szCs w:val="16"/>
              </w:rPr>
            </w:pPr>
            <w:r w:rsidRPr="00795842">
              <w:rPr>
                <w:rFonts w:cs="Gautami"/>
                <w:sz w:val="16"/>
                <w:szCs w:val="16"/>
              </w:rPr>
              <w:t>64.1</w:t>
            </w:r>
          </w:p>
        </w:tc>
        <w:tc>
          <w:tcPr>
            <w:tcW w:w="1046" w:type="dxa"/>
            <w:tcBorders>
              <w:top w:val="nil"/>
              <w:bottom w:val="nil"/>
            </w:tcBorders>
            <w:shd w:val="clear" w:color="auto" w:fill="EEECE1"/>
            <w:noWrap/>
            <w:vAlign w:val="center"/>
          </w:tcPr>
          <w:p w:rsidR="00795842" w:rsidRPr="003C2645" w:rsidRDefault="00795842" w:rsidP="00795842">
            <w:pPr>
              <w:jc w:val="center"/>
              <w:rPr>
                <w:rFonts w:cs="Gautami"/>
                <w:sz w:val="16"/>
                <w:szCs w:val="16"/>
              </w:rPr>
            </w:pPr>
            <w:r w:rsidRPr="003C2645">
              <w:rPr>
                <w:rFonts w:cs="Gautami"/>
                <w:sz w:val="16"/>
                <w:szCs w:val="16"/>
              </w:rPr>
              <w:t>13100</w:t>
            </w:r>
          </w:p>
        </w:tc>
      </w:tr>
      <w:tr w:rsidR="00795842" w:rsidRPr="007556DA" w:rsidTr="00795842">
        <w:trPr>
          <w:trHeight w:hRule="exact" w:val="454"/>
        </w:trPr>
        <w:tc>
          <w:tcPr>
            <w:tcW w:w="0" w:type="auto"/>
            <w:tcBorders>
              <w:top w:val="nil"/>
              <w:bottom w:val="nil"/>
            </w:tcBorders>
            <w:shd w:val="clear" w:color="auto" w:fill="DDD9C3" w:themeFill="background2" w:themeFillShade="E6"/>
            <w:noWrap/>
            <w:vAlign w:val="center"/>
          </w:tcPr>
          <w:p w:rsidR="00795842" w:rsidRPr="007556DA" w:rsidRDefault="00795842" w:rsidP="00795842">
            <w:pPr>
              <w:rPr>
                <w:rFonts w:cs="Gautami"/>
                <w:b/>
                <w:bCs/>
                <w:sz w:val="16"/>
                <w:szCs w:val="16"/>
              </w:rPr>
            </w:pPr>
            <w:r>
              <w:rPr>
                <w:rFonts w:cs="Gautami"/>
                <w:b/>
                <w:bCs/>
                <w:sz w:val="16"/>
                <w:szCs w:val="16"/>
              </w:rPr>
              <w:t>4.45 pm</w:t>
            </w:r>
          </w:p>
        </w:tc>
        <w:tc>
          <w:tcPr>
            <w:tcW w:w="1194" w:type="dxa"/>
            <w:tcBorders>
              <w:top w:val="nil"/>
              <w:bottom w:val="nil"/>
            </w:tcBorders>
            <w:shd w:val="clear" w:color="auto" w:fill="DDD9C3" w:themeFill="background2" w:themeFillShade="E6"/>
            <w:vAlign w:val="center"/>
          </w:tcPr>
          <w:p w:rsidR="00795842" w:rsidRPr="00795842" w:rsidRDefault="00795842" w:rsidP="00795842">
            <w:pPr>
              <w:jc w:val="center"/>
              <w:rPr>
                <w:rFonts w:cs="Gautami"/>
                <w:sz w:val="16"/>
                <w:szCs w:val="16"/>
              </w:rPr>
            </w:pPr>
            <w:r w:rsidRPr="00795842">
              <w:rPr>
                <w:rFonts w:cs="Gautami"/>
                <w:sz w:val="16"/>
                <w:szCs w:val="16"/>
              </w:rPr>
              <w:t>64.24</w:t>
            </w:r>
          </w:p>
        </w:tc>
        <w:tc>
          <w:tcPr>
            <w:tcW w:w="1046" w:type="dxa"/>
            <w:tcBorders>
              <w:top w:val="nil"/>
              <w:bottom w:val="nil"/>
            </w:tcBorders>
            <w:shd w:val="clear" w:color="auto" w:fill="DDD9C3" w:themeFill="background2" w:themeFillShade="E6"/>
            <w:noWrap/>
            <w:vAlign w:val="center"/>
          </w:tcPr>
          <w:p w:rsidR="00795842" w:rsidRPr="003C2645" w:rsidRDefault="00795842" w:rsidP="00795842">
            <w:pPr>
              <w:jc w:val="center"/>
              <w:rPr>
                <w:rFonts w:cs="Gautami"/>
                <w:sz w:val="16"/>
                <w:szCs w:val="16"/>
              </w:rPr>
            </w:pPr>
            <w:r w:rsidRPr="003C2645">
              <w:rPr>
                <w:rFonts w:cs="Gautami"/>
                <w:sz w:val="16"/>
                <w:szCs w:val="16"/>
              </w:rPr>
              <w:t>13100</w:t>
            </w:r>
          </w:p>
        </w:tc>
      </w:tr>
      <w:tr w:rsidR="00795842" w:rsidRPr="007556DA" w:rsidTr="00795842">
        <w:trPr>
          <w:trHeight w:hRule="exact" w:val="454"/>
        </w:trPr>
        <w:tc>
          <w:tcPr>
            <w:tcW w:w="0" w:type="auto"/>
            <w:tcBorders>
              <w:top w:val="nil"/>
              <w:bottom w:val="nil"/>
            </w:tcBorders>
            <w:shd w:val="clear" w:color="auto" w:fill="EEECE1"/>
            <w:noWrap/>
            <w:vAlign w:val="center"/>
          </w:tcPr>
          <w:p w:rsidR="00795842" w:rsidRPr="007556DA" w:rsidRDefault="00795842" w:rsidP="00795842">
            <w:pPr>
              <w:rPr>
                <w:rFonts w:cs="Gautami"/>
                <w:b/>
                <w:bCs/>
                <w:sz w:val="16"/>
                <w:szCs w:val="16"/>
              </w:rPr>
            </w:pPr>
            <w:r>
              <w:rPr>
                <w:rFonts w:cs="Gautami"/>
                <w:b/>
                <w:bCs/>
                <w:sz w:val="16"/>
                <w:szCs w:val="16"/>
              </w:rPr>
              <w:t>4.50 pm</w:t>
            </w:r>
          </w:p>
        </w:tc>
        <w:tc>
          <w:tcPr>
            <w:tcW w:w="1194" w:type="dxa"/>
            <w:tcBorders>
              <w:top w:val="nil"/>
              <w:bottom w:val="nil"/>
            </w:tcBorders>
            <w:shd w:val="clear" w:color="auto" w:fill="EEECE1"/>
            <w:vAlign w:val="center"/>
          </w:tcPr>
          <w:p w:rsidR="00795842" w:rsidRPr="00795842" w:rsidRDefault="00795842" w:rsidP="00795842">
            <w:pPr>
              <w:jc w:val="center"/>
              <w:rPr>
                <w:rFonts w:cs="Gautami"/>
                <w:sz w:val="16"/>
                <w:szCs w:val="16"/>
              </w:rPr>
            </w:pPr>
            <w:r w:rsidRPr="00795842">
              <w:rPr>
                <w:rFonts w:cs="Gautami"/>
                <w:sz w:val="16"/>
                <w:szCs w:val="16"/>
              </w:rPr>
              <w:t>64.23</w:t>
            </w:r>
          </w:p>
        </w:tc>
        <w:tc>
          <w:tcPr>
            <w:tcW w:w="1046" w:type="dxa"/>
            <w:tcBorders>
              <w:top w:val="nil"/>
              <w:bottom w:val="nil"/>
            </w:tcBorders>
            <w:shd w:val="clear" w:color="auto" w:fill="EEECE1"/>
            <w:noWrap/>
            <w:vAlign w:val="center"/>
          </w:tcPr>
          <w:p w:rsidR="00795842" w:rsidRPr="003C2645" w:rsidRDefault="00795842" w:rsidP="00795842">
            <w:pPr>
              <w:jc w:val="center"/>
              <w:rPr>
                <w:rFonts w:cs="Gautami"/>
                <w:sz w:val="16"/>
                <w:szCs w:val="16"/>
              </w:rPr>
            </w:pPr>
            <w:r w:rsidRPr="003C2645">
              <w:rPr>
                <w:rFonts w:cs="Gautami"/>
                <w:sz w:val="16"/>
                <w:szCs w:val="16"/>
              </w:rPr>
              <w:t>13100</w:t>
            </w:r>
          </w:p>
        </w:tc>
      </w:tr>
      <w:tr w:rsidR="00795842" w:rsidRPr="007556DA" w:rsidTr="00795842">
        <w:trPr>
          <w:trHeight w:hRule="exact" w:val="454"/>
        </w:trPr>
        <w:tc>
          <w:tcPr>
            <w:tcW w:w="0" w:type="auto"/>
            <w:tcBorders>
              <w:top w:val="nil"/>
              <w:bottom w:val="nil"/>
            </w:tcBorders>
            <w:shd w:val="clear" w:color="auto" w:fill="DDD9C3" w:themeFill="background2" w:themeFillShade="E6"/>
            <w:noWrap/>
            <w:vAlign w:val="center"/>
          </w:tcPr>
          <w:p w:rsidR="00795842" w:rsidRPr="007556DA" w:rsidRDefault="00795842" w:rsidP="00795842">
            <w:pPr>
              <w:rPr>
                <w:rFonts w:cs="Gautami"/>
                <w:b/>
                <w:bCs/>
                <w:sz w:val="16"/>
                <w:szCs w:val="16"/>
              </w:rPr>
            </w:pPr>
            <w:r>
              <w:rPr>
                <w:rFonts w:cs="Gautami"/>
                <w:b/>
                <w:bCs/>
                <w:sz w:val="16"/>
                <w:szCs w:val="16"/>
              </w:rPr>
              <w:t>4.55 pm</w:t>
            </w:r>
          </w:p>
        </w:tc>
        <w:tc>
          <w:tcPr>
            <w:tcW w:w="1194" w:type="dxa"/>
            <w:tcBorders>
              <w:top w:val="nil"/>
              <w:bottom w:val="nil"/>
            </w:tcBorders>
            <w:shd w:val="clear" w:color="auto" w:fill="DDD9C3" w:themeFill="background2" w:themeFillShade="E6"/>
            <w:vAlign w:val="center"/>
          </w:tcPr>
          <w:p w:rsidR="00795842" w:rsidRPr="00795842" w:rsidRDefault="00795842" w:rsidP="00795842">
            <w:pPr>
              <w:jc w:val="center"/>
              <w:rPr>
                <w:rFonts w:cs="Gautami"/>
                <w:sz w:val="16"/>
                <w:szCs w:val="16"/>
              </w:rPr>
            </w:pPr>
            <w:r w:rsidRPr="00795842">
              <w:rPr>
                <w:rFonts w:cs="Gautami"/>
                <w:sz w:val="16"/>
                <w:szCs w:val="16"/>
              </w:rPr>
              <w:t>64.1</w:t>
            </w:r>
          </w:p>
        </w:tc>
        <w:tc>
          <w:tcPr>
            <w:tcW w:w="1046" w:type="dxa"/>
            <w:tcBorders>
              <w:top w:val="nil"/>
              <w:bottom w:val="nil"/>
            </w:tcBorders>
            <w:shd w:val="clear" w:color="auto" w:fill="DDD9C3" w:themeFill="background2" w:themeFillShade="E6"/>
            <w:noWrap/>
            <w:vAlign w:val="center"/>
          </w:tcPr>
          <w:p w:rsidR="00795842" w:rsidRPr="003C2645" w:rsidRDefault="00795842" w:rsidP="00795842">
            <w:pPr>
              <w:jc w:val="center"/>
              <w:rPr>
                <w:rFonts w:cs="Gautami"/>
                <w:sz w:val="16"/>
                <w:szCs w:val="16"/>
              </w:rPr>
            </w:pPr>
            <w:r w:rsidRPr="003C2645">
              <w:rPr>
                <w:rFonts w:cs="Gautami"/>
                <w:sz w:val="16"/>
                <w:szCs w:val="16"/>
              </w:rPr>
              <w:t>13100</w:t>
            </w:r>
          </w:p>
        </w:tc>
      </w:tr>
      <w:tr w:rsidR="00795842" w:rsidRPr="007556DA" w:rsidTr="00795842">
        <w:trPr>
          <w:trHeight w:hRule="exact" w:val="454"/>
        </w:trPr>
        <w:tc>
          <w:tcPr>
            <w:tcW w:w="0" w:type="auto"/>
            <w:tcBorders>
              <w:top w:val="nil"/>
              <w:bottom w:val="nil"/>
            </w:tcBorders>
            <w:shd w:val="clear" w:color="auto" w:fill="EEECE1"/>
            <w:noWrap/>
            <w:vAlign w:val="center"/>
          </w:tcPr>
          <w:p w:rsidR="00795842" w:rsidRPr="007556DA" w:rsidRDefault="00795842" w:rsidP="00795842">
            <w:pPr>
              <w:rPr>
                <w:rFonts w:cs="Gautami"/>
                <w:b/>
                <w:bCs/>
                <w:sz w:val="16"/>
                <w:szCs w:val="16"/>
              </w:rPr>
            </w:pPr>
            <w:r>
              <w:rPr>
                <w:rFonts w:cs="Gautami"/>
                <w:b/>
                <w:bCs/>
                <w:sz w:val="16"/>
                <w:szCs w:val="16"/>
              </w:rPr>
              <w:t>5 pm</w:t>
            </w:r>
          </w:p>
        </w:tc>
        <w:tc>
          <w:tcPr>
            <w:tcW w:w="1194" w:type="dxa"/>
            <w:tcBorders>
              <w:top w:val="nil"/>
              <w:bottom w:val="nil"/>
            </w:tcBorders>
            <w:shd w:val="clear" w:color="auto" w:fill="EEECE1"/>
            <w:vAlign w:val="center"/>
          </w:tcPr>
          <w:p w:rsidR="00795842" w:rsidRPr="00795842" w:rsidRDefault="00795842" w:rsidP="00795842">
            <w:pPr>
              <w:jc w:val="center"/>
              <w:rPr>
                <w:rFonts w:cs="Gautami"/>
                <w:sz w:val="16"/>
                <w:szCs w:val="16"/>
              </w:rPr>
            </w:pPr>
            <w:r w:rsidRPr="00795842">
              <w:rPr>
                <w:rFonts w:cs="Gautami"/>
                <w:sz w:val="16"/>
                <w:szCs w:val="16"/>
              </w:rPr>
              <w:t>63.44</w:t>
            </w:r>
          </w:p>
        </w:tc>
        <w:tc>
          <w:tcPr>
            <w:tcW w:w="1046" w:type="dxa"/>
            <w:tcBorders>
              <w:top w:val="nil"/>
              <w:bottom w:val="nil"/>
            </w:tcBorders>
            <w:shd w:val="clear" w:color="auto" w:fill="EEECE1"/>
            <w:noWrap/>
            <w:vAlign w:val="center"/>
          </w:tcPr>
          <w:p w:rsidR="00795842" w:rsidRPr="003C2645" w:rsidRDefault="00795842" w:rsidP="00795842">
            <w:pPr>
              <w:jc w:val="center"/>
              <w:rPr>
                <w:rFonts w:cs="Gautami"/>
                <w:sz w:val="16"/>
                <w:szCs w:val="16"/>
              </w:rPr>
            </w:pPr>
            <w:r w:rsidRPr="003C2645">
              <w:rPr>
                <w:rFonts w:cs="Gautami"/>
                <w:sz w:val="16"/>
                <w:szCs w:val="16"/>
              </w:rPr>
              <w:t>13100</w:t>
            </w:r>
          </w:p>
        </w:tc>
      </w:tr>
    </w:tbl>
    <w:p w:rsidR="00795842" w:rsidRDefault="00795842" w:rsidP="00A422C3"/>
    <w:p w:rsidR="00795842" w:rsidRDefault="00795842" w:rsidP="00A422C3"/>
    <w:p w:rsidR="00A422C3" w:rsidRDefault="00B22FA0" w:rsidP="00A422C3">
      <w:r>
        <w:t>Rebidding</w:t>
      </w:r>
    </w:p>
    <w:p w:rsidR="00B22FA0" w:rsidRDefault="00B22FA0" w:rsidP="00A422C3"/>
    <w:p w:rsidR="00B22FA0" w:rsidRDefault="004416FC" w:rsidP="00A422C3">
      <w:r>
        <w:t>A</w:t>
      </w:r>
      <w:r w:rsidR="00B22FA0">
        <w:t xml:space="preserve">t 4.05 pm AGL rebid </w:t>
      </w:r>
      <w:r w:rsidR="007C01C3">
        <w:t>2</w:t>
      </w:r>
      <w:r w:rsidR="00B22FA0">
        <w:t>0 MW of lower 60sec services from prices below $1/MW to above $9000/MW (</w:t>
      </w:r>
      <w:r w:rsidR="007C01C3">
        <w:t>1</w:t>
      </w:r>
      <w:r w:rsidR="00E20CC3">
        <w:t>5</w:t>
      </w:r>
      <w:r w:rsidR="00B22FA0">
        <w:t> MW at the price cap).</w:t>
      </w:r>
      <w:r w:rsidR="00E20CC3">
        <w:t xml:space="preserve"> The reasons given were “</w:t>
      </w:r>
      <w:r w:rsidR="00E20CC3" w:rsidRPr="00E20CC3">
        <w:t xml:space="preserve">15:40A </w:t>
      </w:r>
      <w:proofErr w:type="spellStart"/>
      <w:r w:rsidR="00E20CC3" w:rsidRPr="00E20CC3">
        <w:t>chg</w:t>
      </w:r>
      <w:proofErr w:type="spellEnd"/>
      <w:r w:rsidR="00E20CC3" w:rsidRPr="00E20CC3">
        <w:t xml:space="preserve"> in forecast::price </w:t>
      </w:r>
      <w:proofErr w:type="spellStart"/>
      <w:r w:rsidR="00E20CC3" w:rsidRPr="00E20CC3">
        <w:t>inc</w:t>
      </w:r>
      <w:r w:rsidR="007C01C3">
        <w:t>r</w:t>
      </w:r>
      <w:proofErr w:type="spellEnd"/>
      <w:r w:rsidR="007C01C3">
        <w:t xml:space="preserve"> </w:t>
      </w:r>
      <w:proofErr w:type="spellStart"/>
      <w:proofErr w:type="gramStart"/>
      <w:r w:rsidR="007C01C3">
        <w:t>sa</w:t>
      </w:r>
      <w:proofErr w:type="spellEnd"/>
      <w:proofErr w:type="gramEnd"/>
      <w:r w:rsidR="007C01C3">
        <w:t xml:space="preserve"> lower60 $13100 5MPD VS PD”.</w:t>
      </w:r>
    </w:p>
    <w:p w:rsidR="0013226B" w:rsidRDefault="0013226B" w:rsidP="00A422C3"/>
    <w:p w:rsidR="0013226B" w:rsidRDefault="0013226B" w:rsidP="0013226B">
      <w:pPr>
        <w:pStyle w:val="Figureheading"/>
        <w:numPr>
          <w:ilvl w:val="0"/>
          <w:numId w:val="0"/>
        </w:numPr>
        <w:spacing w:after="0"/>
        <w:ind w:left="357" w:hanging="357"/>
      </w:pPr>
      <w:r>
        <w:lastRenderedPageBreak/>
        <w:t xml:space="preserve">Spotlight Figure </w:t>
      </w:r>
      <w:r w:rsidR="008E2C5F">
        <w:t>1</w:t>
      </w:r>
      <w:r>
        <w:t>: Lower 60 second services effective offers, requirement and price in South Australia</w:t>
      </w:r>
      <w:r w:rsidR="008E2C5F">
        <w:t xml:space="preserve"> for 10 September</w:t>
      </w:r>
    </w:p>
    <w:p w:rsidR="0013226B" w:rsidRDefault="00C33CB2" w:rsidP="00A422C3">
      <w:r>
        <w:pict>
          <v:shape id="_x0000_i1026" type="#_x0000_t75" style="width:450.8pt;height:307.4pt">
            <v:imagedata r:id="rId10" o:title=""/>
          </v:shape>
        </w:pict>
      </w:r>
    </w:p>
    <w:p w:rsidR="0013226B" w:rsidRPr="00A422C3" w:rsidRDefault="0013226B" w:rsidP="00A422C3"/>
    <w:p w:rsidR="00F83806" w:rsidRDefault="00F50D3A" w:rsidP="00BF51AE">
      <w:pPr>
        <w:pStyle w:val="Heading2"/>
      </w:pPr>
      <w:r>
        <w:t>S</w:t>
      </w:r>
      <w:r w:rsidR="00687B08">
        <w:t>pot market prices</w:t>
      </w:r>
    </w:p>
    <w:p w:rsidR="00687B08" w:rsidRPr="007556DA" w:rsidRDefault="00687B08" w:rsidP="00F50D3A">
      <w:pPr>
        <w:pStyle w:val="AERbodytext"/>
      </w:pPr>
      <w:bookmarkStart w:id="7" w:name="OLE_LINK28"/>
      <w:bookmarkStart w:id="8"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9" w:name="_Ref307219594"/>
      <w:r w:rsidRPr="007556DA">
        <w:t xml:space="preserve">Figure </w:t>
      </w:r>
      <w:bookmarkEnd w:id="9"/>
      <w:r w:rsidRPr="007556DA">
        <w:t xml:space="preserve">1: </w:t>
      </w:r>
      <w:r w:rsidR="00656C5F" w:rsidRPr="007556DA">
        <w:t>Volume weighted average spot price by region ($/MWh)</w:t>
      </w:r>
    </w:p>
    <w:p w:rsidR="00785F23" w:rsidRPr="00785F23" w:rsidRDefault="00FE0649" w:rsidP="00785F23">
      <w:pPr>
        <w:pStyle w:val="AERbodytext"/>
      </w:pPr>
      <w:r w:rsidRPr="00FE0649">
        <w:t xml:space="preserve"> </w:t>
      </w:r>
      <w:r w:rsidR="00C33CB2">
        <w:pict>
          <v:shape id="_x0000_i1027" type="#_x0000_t75" alt="Figure 1 shows the volume weighted average (VWA) prices for this week (with prices shown in Table 1) and the preceding 12 weeks, as well as the VWA price " style="width:451.4pt;height:226pt;mso-position-vertical:absolute">
            <v:imagedata r:id="rId11"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proofErr w:type="spellStart"/>
            <w:r w:rsidRPr="00470218">
              <w:rPr>
                <w:rFonts w:cs="Gautami"/>
                <w:b/>
                <w:bCs/>
                <w:color w:val="FFFFFF" w:themeColor="background1"/>
                <w:sz w:val="16"/>
                <w:szCs w:val="16"/>
              </w:rPr>
              <w:t>Tas</w:t>
            </w:r>
            <w:proofErr w:type="spellEnd"/>
          </w:p>
        </w:tc>
      </w:tr>
      <w:tr w:rsidR="00FE0649"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FE0649" w:rsidRPr="007556DA" w:rsidRDefault="00FE0649">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FE0649" w:rsidRDefault="00FE0649">
            <w:pPr>
              <w:jc w:val="center"/>
              <w:rPr>
                <w:rFonts w:cs="Gautami"/>
                <w:sz w:val="16"/>
                <w:szCs w:val="16"/>
              </w:rPr>
            </w:pPr>
            <w:r>
              <w:rPr>
                <w:rFonts w:cs="Gautami"/>
                <w:sz w:val="16"/>
                <w:szCs w:val="16"/>
              </w:rPr>
              <w:t>55</w:t>
            </w:r>
          </w:p>
        </w:tc>
        <w:tc>
          <w:tcPr>
            <w:tcW w:w="1275" w:type="dxa"/>
            <w:tcBorders>
              <w:top w:val="nil"/>
              <w:bottom w:val="nil"/>
            </w:tcBorders>
            <w:shd w:val="clear" w:color="auto" w:fill="DDD9C3" w:themeFill="background2" w:themeFillShade="E6"/>
            <w:noWrap/>
            <w:vAlign w:val="center"/>
          </w:tcPr>
          <w:p w:rsidR="00FE0649" w:rsidRDefault="00FE0649">
            <w:pPr>
              <w:jc w:val="center"/>
              <w:rPr>
                <w:rFonts w:cs="Gautami"/>
                <w:sz w:val="16"/>
                <w:szCs w:val="16"/>
              </w:rPr>
            </w:pPr>
            <w:r>
              <w:rPr>
                <w:rFonts w:cs="Gautami"/>
                <w:sz w:val="16"/>
                <w:szCs w:val="16"/>
              </w:rPr>
              <w:t>52</w:t>
            </w:r>
          </w:p>
        </w:tc>
        <w:tc>
          <w:tcPr>
            <w:tcW w:w="1276" w:type="dxa"/>
            <w:tcBorders>
              <w:top w:val="nil"/>
              <w:bottom w:val="nil"/>
            </w:tcBorders>
            <w:shd w:val="clear" w:color="auto" w:fill="DDD9C3" w:themeFill="background2" w:themeFillShade="E6"/>
            <w:vAlign w:val="center"/>
          </w:tcPr>
          <w:p w:rsidR="00FE0649" w:rsidRDefault="00FE0649">
            <w:pPr>
              <w:jc w:val="center"/>
              <w:rPr>
                <w:rFonts w:cs="Gautami"/>
                <w:sz w:val="16"/>
                <w:szCs w:val="16"/>
              </w:rPr>
            </w:pPr>
            <w:r>
              <w:rPr>
                <w:rFonts w:cs="Gautami"/>
                <w:sz w:val="16"/>
                <w:szCs w:val="16"/>
              </w:rPr>
              <w:t>50</w:t>
            </w:r>
          </w:p>
        </w:tc>
        <w:tc>
          <w:tcPr>
            <w:tcW w:w="1134" w:type="dxa"/>
            <w:tcBorders>
              <w:top w:val="nil"/>
              <w:bottom w:val="nil"/>
            </w:tcBorders>
            <w:shd w:val="clear" w:color="auto" w:fill="DDD9C3" w:themeFill="background2" w:themeFillShade="E6"/>
            <w:noWrap/>
            <w:vAlign w:val="center"/>
          </w:tcPr>
          <w:p w:rsidR="00FE0649" w:rsidRDefault="00FE0649">
            <w:pPr>
              <w:jc w:val="center"/>
              <w:rPr>
                <w:rFonts w:cs="Gautami"/>
                <w:sz w:val="16"/>
                <w:szCs w:val="16"/>
              </w:rPr>
            </w:pPr>
            <w:r>
              <w:rPr>
                <w:rFonts w:cs="Gautami"/>
                <w:sz w:val="16"/>
                <w:szCs w:val="16"/>
              </w:rPr>
              <w:t>67</w:t>
            </w:r>
          </w:p>
        </w:tc>
        <w:tc>
          <w:tcPr>
            <w:tcW w:w="1275" w:type="dxa"/>
            <w:tcBorders>
              <w:top w:val="nil"/>
              <w:bottom w:val="nil"/>
            </w:tcBorders>
            <w:shd w:val="clear" w:color="auto" w:fill="DDD9C3" w:themeFill="background2" w:themeFillShade="E6"/>
            <w:vAlign w:val="center"/>
          </w:tcPr>
          <w:p w:rsidR="00FE0649" w:rsidRDefault="00FE0649">
            <w:pPr>
              <w:jc w:val="center"/>
              <w:rPr>
                <w:rFonts w:cs="Gautami"/>
                <w:sz w:val="16"/>
                <w:szCs w:val="16"/>
              </w:rPr>
            </w:pPr>
            <w:r>
              <w:rPr>
                <w:rFonts w:cs="Gautami"/>
                <w:sz w:val="16"/>
                <w:szCs w:val="16"/>
              </w:rPr>
              <w:t>40</w:t>
            </w:r>
          </w:p>
        </w:tc>
      </w:tr>
      <w:tr w:rsidR="00FE0649" w:rsidRPr="007556DA" w:rsidTr="00CA5F6C">
        <w:trPr>
          <w:trHeight w:hRule="exact" w:val="454"/>
        </w:trPr>
        <w:tc>
          <w:tcPr>
            <w:tcW w:w="1809" w:type="dxa"/>
            <w:tcBorders>
              <w:top w:val="nil"/>
              <w:bottom w:val="nil"/>
            </w:tcBorders>
            <w:shd w:val="clear" w:color="auto" w:fill="EEECE1" w:themeFill="background2"/>
            <w:noWrap/>
            <w:vAlign w:val="center"/>
          </w:tcPr>
          <w:p w:rsidR="00FE0649" w:rsidRPr="007556DA" w:rsidRDefault="00FE0649">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FE0649" w:rsidRDefault="00FE0649">
            <w:pPr>
              <w:jc w:val="center"/>
              <w:rPr>
                <w:rFonts w:cs="Gautami"/>
                <w:sz w:val="16"/>
                <w:szCs w:val="16"/>
              </w:rPr>
            </w:pPr>
            <w:r>
              <w:rPr>
                <w:rFonts w:cs="Gautami"/>
                <w:sz w:val="16"/>
                <w:szCs w:val="16"/>
              </w:rPr>
              <w:t>59</w:t>
            </w:r>
          </w:p>
        </w:tc>
        <w:tc>
          <w:tcPr>
            <w:tcW w:w="1275" w:type="dxa"/>
            <w:tcBorders>
              <w:top w:val="nil"/>
              <w:bottom w:val="nil"/>
            </w:tcBorders>
            <w:shd w:val="clear" w:color="auto" w:fill="EEECE1" w:themeFill="background2"/>
            <w:noWrap/>
            <w:vAlign w:val="center"/>
          </w:tcPr>
          <w:p w:rsidR="00FE0649" w:rsidRDefault="00FE0649">
            <w:pPr>
              <w:jc w:val="center"/>
              <w:rPr>
                <w:rFonts w:cs="Gautami"/>
                <w:sz w:val="16"/>
                <w:szCs w:val="16"/>
              </w:rPr>
            </w:pPr>
            <w:r>
              <w:rPr>
                <w:rFonts w:cs="Gautami"/>
                <w:sz w:val="16"/>
                <w:szCs w:val="16"/>
              </w:rPr>
              <w:t>61</w:t>
            </w:r>
          </w:p>
        </w:tc>
        <w:tc>
          <w:tcPr>
            <w:tcW w:w="1276" w:type="dxa"/>
            <w:tcBorders>
              <w:top w:val="nil"/>
              <w:bottom w:val="nil"/>
            </w:tcBorders>
            <w:shd w:val="clear" w:color="auto" w:fill="EEECE1" w:themeFill="background2"/>
            <w:vAlign w:val="center"/>
          </w:tcPr>
          <w:p w:rsidR="00FE0649" w:rsidRDefault="00FE0649">
            <w:pPr>
              <w:jc w:val="center"/>
              <w:rPr>
                <w:rFonts w:cs="Gautami"/>
                <w:sz w:val="16"/>
                <w:szCs w:val="16"/>
              </w:rPr>
            </w:pPr>
            <w:r>
              <w:rPr>
                <w:rFonts w:cs="Gautami"/>
                <w:sz w:val="16"/>
                <w:szCs w:val="16"/>
              </w:rPr>
              <w:t>65</w:t>
            </w:r>
          </w:p>
        </w:tc>
        <w:tc>
          <w:tcPr>
            <w:tcW w:w="1134" w:type="dxa"/>
            <w:tcBorders>
              <w:top w:val="nil"/>
              <w:bottom w:val="nil"/>
            </w:tcBorders>
            <w:shd w:val="clear" w:color="auto" w:fill="EEECE1" w:themeFill="background2"/>
            <w:noWrap/>
            <w:vAlign w:val="center"/>
          </w:tcPr>
          <w:p w:rsidR="00FE0649" w:rsidRDefault="00FE0649">
            <w:pPr>
              <w:jc w:val="center"/>
              <w:rPr>
                <w:rFonts w:cs="Gautami"/>
                <w:sz w:val="16"/>
                <w:szCs w:val="16"/>
              </w:rPr>
            </w:pPr>
            <w:r>
              <w:rPr>
                <w:rFonts w:cs="Gautami"/>
                <w:sz w:val="16"/>
                <w:szCs w:val="16"/>
              </w:rPr>
              <w:t>71</w:t>
            </w:r>
          </w:p>
        </w:tc>
        <w:tc>
          <w:tcPr>
            <w:tcW w:w="1275" w:type="dxa"/>
            <w:tcBorders>
              <w:top w:val="nil"/>
              <w:bottom w:val="nil"/>
            </w:tcBorders>
            <w:shd w:val="clear" w:color="auto" w:fill="EEECE1" w:themeFill="background2"/>
            <w:vAlign w:val="center"/>
          </w:tcPr>
          <w:p w:rsidR="00FE0649" w:rsidRDefault="00FE0649">
            <w:pPr>
              <w:jc w:val="center"/>
              <w:rPr>
                <w:rFonts w:cs="Gautami"/>
                <w:sz w:val="16"/>
                <w:szCs w:val="16"/>
              </w:rPr>
            </w:pPr>
            <w:r>
              <w:rPr>
                <w:rFonts w:cs="Gautami"/>
                <w:sz w:val="16"/>
                <w:szCs w:val="16"/>
              </w:rPr>
              <w:t>52</w:t>
            </w:r>
          </w:p>
        </w:tc>
      </w:tr>
      <w:tr w:rsidR="00FE0649"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FE0649" w:rsidRPr="007556DA" w:rsidRDefault="00FE0649">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FE0649" w:rsidRDefault="00FE0649">
            <w:pPr>
              <w:jc w:val="center"/>
              <w:rPr>
                <w:rFonts w:cs="Gautami"/>
                <w:sz w:val="16"/>
                <w:szCs w:val="16"/>
              </w:rPr>
            </w:pPr>
            <w:r>
              <w:rPr>
                <w:rFonts w:cs="Gautami"/>
                <w:sz w:val="16"/>
                <w:szCs w:val="16"/>
              </w:rPr>
              <w:t>62</w:t>
            </w:r>
          </w:p>
        </w:tc>
        <w:tc>
          <w:tcPr>
            <w:tcW w:w="1275" w:type="dxa"/>
            <w:tcBorders>
              <w:top w:val="nil"/>
              <w:bottom w:val="single" w:sz="4" w:space="0" w:color="auto"/>
            </w:tcBorders>
            <w:shd w:val="clear" w:color="auto" w:fill="DDD9C3" w:themeFill="background2" w:themeFillShade="E6"/>
            <w:noWrap/>
            <w:vAlign w:val="center"/>
          </w:tcPr>
          <w:p w:rsidR="00FE0649" w:rsidRDefault="00FE0649">
            <w:pPr>
              <w:jc w:val="center"/>
              <w:rPr>
                <w:rFonts w:cs="Gautami"/>
                <w:sz w:val="16"/>
                <w:szCs w:val="16"/>
              </w:rPr>
            </w:pPr>
            <w:r>
              <w:rPr>
                <w:rFonts w:cs="Gautami"/>
                <w:sz w:val="16"/>
                <w:szCs w:val="16"/>
              </w:rPr>
              <w:t>56</w:t>
            </w:r>
          </w:p>
        </w:tc>
        <w:tc>
          <w:tcPr>
            <w:tcW w:w="1276" w:type="dxa"/>
            <w:tcBorders>
              <w:top w:val="nil"/>
              <w:bottom w:val="single" w:sz="4" w:space="0" w:color="auto"/>
            </w:tcBorders>
            <w:shd w:val="clear" w:color="auto" w:fill="DDD9C3" w:themeFill="background2" w:themeFillShade="E6"/>
            <w:vAlign w:val="center"/>
          </w:tcPr>
          <w:p w:rsidR="00FE0649" w:rsidRDefault="00FE0649">
            <w:pPr>
              <w:jc w:val="center"/>
              <w:rPr>
                <w:rFonts w:cs="Gautami"/>
                <w:sz w:val="16"/>
                <w:szCs w:val="16"/>
              </w:rPr>
            </w:pPr>
            <w:r>
              <w:rPr>
                <w:rFonts w:cs="Gautami"/>
                <w:sz w:val="16"/>
                <w:szCs w:val="16"/>
              </w:rPr>
              <w:t>56</w:t>
            </w:r>
          </w:p>
        </w:tc>
        <w:tc>
          <w:tcPr>
            <w:tcW w:w="1134" w:type="dxa"/>
            <w:tcBorders>
              <w:top w:val="nil"/>
              <w:bottom w:val="single" w:sz="4" w:space="0" w:color="auto"/>
            </w:tcBorders>
            <w:shd w:val="clear" w:color="auto" w:fill="DDD9C3" w:themeFill="background2" w:themeFillShade="E6"/>
            <w:noWrap/>
            <w:vAlign w:val="center"/>
          </w:tcPr>
          <w:p w:rsidR="00FE0649" w:rsidRDefault="00FE0649">
            <w:pPr>
              <w:jc w:val="center"/>
              <w:rPr>
                <w:rFonts w:cs="Gautami"/>
                <w:sz w:val="16"/>
                <w:szCs w:val="16"/>
              </w:rPr>
            </w:pPr>
            <w:r>
              <w:rPr>
                <w:rFonts w:cs="Gautami"/>
                <w:sz w:val="16"/>
                <w:szCs w:val="16"/>
              </w:rPr>
              <w:t>72</w:t>
            </w:r>
          </w:p>
        </w:tc>
        <w:tc>
          <w:tcPr>
            <w:tcW w:w="1275" w:type="dxa"/>
            <w:tcBorders>
              <w:top w:val="nil"/>
              <w:bottom w:val="single" w:sz="4" w:space="0" w:color="auto"/>
            </w:tcBorders>
            <w:shd w:val="clear" w:color="auto" w:fill="DDD9C3" w:themeFill="background2" w:themeFillShade="E6"/>
            <w:vAlign w:val="center"/>
          </w:tcPr>
          <w:p w:rsidR="00FE0649" w:rsidRDefault="00FE0649">
            <w:pPr>
              <w:jc w:val="center"/>
              <w:rPr>
                <w:rFonts w:cs="Gautami"/>
                <w:sz w:val="16"/>
                <w:szCs w:val="16"/>
              </w:rPr>
            </w:pPr>
            <w:r>
              <w:rPr>
                <w:rFonts w:cs="Gautami"/>
                <w:sz w:val="16"/>
                <w:szCs w:val="16"/>
              </w:rPr>
              <w:t>47</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2" w:history="1">
        <w:r w:rsidR="000F1E82">
          <w:rPr>
            <w:rStyle w:val="Hyperlink"/>
          </w:rPr>
          <w:t>AER website</w:t>
        </w:r>
      </w:hyperlink>
      <w:r>
        <w:t xml:space="preserve">. </w:t>
      </w:r>
    </w:p>
    <w:bookmarkEnd w:id="7"/>
    <w:bookmarkEnd w:id="8"/>
    <w:p w:rsidR="006E199B" w:rsidRDefault="007F5786" w:rsidP="00BD4E2C">
      <w:pPr>
        <w:pStyle w:val="Heading2"/>
      </w:pPr>
      <w:r>
        <w:t xml:space="preserve">Spot market </w:t>
      </w:r>
      <w:r w:rsidR="00D71DBA">
        <w:t xml:space="preserve">price </w:t>
      </w:r>
      <w:r>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t xml:space="preserve">There were </w:t>
      </w:r>
      <w:r w:rsidR="00FE0649">
        <w:t>40</w:t>
      </w:r>
      <w:r>
        <w:t xml:space="preserve"> trading intervals throughout the week where actual prices varied significantly from forecasts. This compares to the weekly average in 2012 of 60 counts and the average in 2011 of 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FE0649" w:rsidRPr="00155A20" w:rsidTr="00CA5F6C">
        <w:trPr>
          <w:trHeight w:hRule="exact" w:val="454"/>
        </w:trPr>
        <w:tc>
          <w:tcPr>
            <w:tcW w:w="2127" w:type="dxa"/>
            <w:tcBorders>
              <w:bottom w:val="nil"/>
            </w:tcBorders>
            <w:shd w:val="clear" w:color="auto" w:fill="DDD9C3" w:themeFill="background2" w:themeFillShade="E6"/>
            <w:noWrap/>
            <w:vAlign w:val="center"/>
          </w:tcPr>
          <w:p w:rsidR="00FE0649" w:rsidRPr="00155A20" w:rsidRDefault="00FE0649">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FE0649" w:rsidRDefault="00FE0649">
            <w:pPr>
              <w:jc w:val="center"/>
              <w:rPr>
                <w:rFonts w:cs="Gautami"/>
                <w:sz w:val="16"/>
                <w:szCs w:val="16"/>
              </w:rPr>
            </w:pPr>
            <w:r>
              <w:rPr>
                <w:rFonts w:cs="Gautami"/>
                <w:sz w:val="16"/>
                <w:szCs w:val="16"/>
              </w:rPr>
              <w:t>9</w:t>
            </w:r>
          </w:p>
        </w:tc>
        <w:tc>
          <w:tcPr>
            <w:tcW w:w="1418" w:type="dxa"/>
            <w:tcBorders>
              <w:bottom w:val="nil"/>
            </w:tcBorders>
            <w:shd w:val="clear" w:color="auto" w:fill="DDD9C3" w:themeFill="background2" w:themeFillShade="E6"/>
            <w:noWrap/>
            <w:vAlign w:val="center"/>
          </w:tcPr>
          <w:p w:rsidR="00FE0649" w:rsidRDefault="00FE0649">
            <w:pPr>
              <w:jc w:val="center"/>
              <w:rPr>
                <w:rFonts w:cs="Gautami"/>
                <w:sz w:val="16"/>
                <w:szCs w:val="16"/>
              </w:rPr>
            </w:pPr>
            <w:r>
              <w:rPr>
                <w:rFonts w:cs="Gautami"/>
                <w:sz w:val="16"/>
                <w:szCs w:val="16"/>
              </w:rPr>
              <w:t>8</w:t>
            </w:r>
          </w:p>
        </w:tc>
        <w:tc>
          <w:tcPr>
            <w:tcW w:w="1843" w:type="dxa"/>
            <w:tcBorders>
              <w:bottom w:val="nil"/>
            </w:tcBorders>
            <w:shd w:val="clear" w:color="auto" w:fill="DDD9C3" w:themeFill="background2" w:themeFillShade="E6"/>
            <w:noWrap/>
            <w:vAlign w:val="center"/>
          </w:tcPr>
          <w:p w:rsidR="00FE0649" w:rsidRDefault="00FE0649">
            <w:pPr>
              <w:jc w:val="center"/>
              <w:rPr>
                <w:rFonts w:cs="Gautami"/>
                <w:sz w:val="16"/>
                <w:szCs w:val="16"/>
              </w:rPr>
            </w:pPr>
            <w:r>
              <w:rPr>
                <w:rFonts w:cs="Gautami"/>
                <w:sz w:val="16"/>
                <w:szCs w:val="16"/>
              </w:rPr>
              <w:t>0</w:t>
            </w:r>
          </w:p>
        </w:tc>
        <w:tc>
          <w:tcPr>
            <w:tcW w:w="1417" w:type="dxa"/>
            <w:tcBorders>
              <w:bottom w:val="nil"/>
            </w:tcBorders>
            <w:shd w:val="clear" w:color="auto" w:fill="DDD9C3" w:themeFill="background2" w:themeFillShade="E6"/>
            <w:vAlign w:val="center"/>
          </w:tcPr>
          <w:p w:rsidR="00FE0649" w:rsidRDefault="00FE0649">
            <w:pPr>
              <w:jc w:val="center"/>
              <w:rPr>
                <w:rFonts w:cs="Gautami"/>
                <w:sz w:val="16"/>
                <w:szCs w:val="16"/>
              </w:rPr>
            </w:pPr>
            <w:r>
              <w:rPr>
                <w:rFonts w:cs="Gautami"/>
                <w:sz w:val="16"/>
                <w:szCs w:val="16"/>
              </w:rPr>
              <w:t>3</w:t>
            </w:r>
          </w:p>
        </w:tc>
      </w:tr>
      <w:tr w:rsidR="00FE0649"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FE0649" w:rsidRPr="00155A20" w:rsidRDefault="00FE0649">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FE0649" w:rsidRDefault="00FE0649">
            <w:pPr>
              <w:jc w:val="center"/>
              <w:rPr>
                <w:rFonts w:cs="Gautami"/>
                <w:sz w:val="16"/>
                <w:szCs w:val="16"/>
              </w:rPr>
            </w:pPr>
            <w:r>
              <w:rPr>
                <w:rFonts w:cs="Gautami"/>
                <w:sz w:val="16"/>
                <w:szCs w:val="16"/>
              </w:rPr>
              <w:t>23</w:t>
            </w:r>
          </w:p>
        </w:tc>
        <w:tc>
          <w:tcPr>
            <w:tcW w:w="1418" w:type="dxa"/>
            <w:tcBorders>
              <w:top w:val="nil"/>
              <w:bottom w:val="single" w:sz="4" w:space="0" w:color="auto"/>
            </w:tcBorders>
            <w:shd w:val="clear" w:color="auto" w:fill="EEECE1" w:themeFill="background2"/>
            <w:noWrap/>
            <w:vAlign w:val="center"/>
          </w:tcPr>
          <w:p w:rsidR="00FE0649" w:rsidRDefault="00FE0649">
            <w:pPr>
              <w:jc w:val="center"/>
              <w:rPr>
                <w:rFonts w:cs="Gautami"/>
                <w:sz w:val="16"/>
                <w:szCs w:val="16"/>
              </w:rPr>
            </w:pPr>
            <w:r>
              <w:rPr>
                <w:rFonts w:cs="Gautami"/>
                <w:sz w:val="16"/>
                <w:szCs w:val="16"/>
              </w:rPr>
              <w:t>56</w:t>
            </w:r>
          </w:p>
        </w:tc>
        <w:tc>
          <w:tcPr>
            <w:tcW w:w="1843" w:type="dxa"/>
            <w:tcBorders>
              <w:top w:val="nil"/>
              <w:bottom w:val="single" w:sz="4" w:space="0" w:color="auto"/>
            </w:tcBorders>
            <w:shd w:val="clear" w:color="auto" w:fill="EEECE1" w:themeFill="background2"/>
            <w:noWrap/>
            <w:vAlign w:val="center"/>
          </w:tcPr>
          <w:p w:rsidR="00FE0649" w:rsidRDefault="00FE0649">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themeFill="background2"/>
            <w:vAlign w:val="center"/>
          </w:tcPr>
          <w:p w:rsidR="00FE0649" w:rsidRDefault="00FE0649">
            <w:pPr>
              <w:jc w:val="center"/>
              <w:rPr>
                <w:rFonts w:cs="Gautami"/>
                <w:sz w:val="16"/>
                <w:szCs w:val="16"/>
              </w:rPr>
            </w:pPr>
            <w:r>
              <w:rPr>
                <w:rFonts w:cs="Gautami"/>
                <w:sz w:val="16"/>
                <w:szCs w:val="16"/>
              </w:rPr>
              <w:t>0</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64299A">
      <w:pPr>
        <w:pStyle w:val="Figureheading"/>
        <w:numPr>
          <w:ilvl w:val="0"/>
          <w:numId w:val="0"/>
        </w:numPr>
      </w:pPr>
      <w:r w:rsidRPr="0030575B">
        <w:t>Figure 2: Queensland generation and bidding patterns</w:t>
      </w:r>
    </w:p>
    <w:p w:rsidR="00F4461C" w:rsidRPr="0030575B" w:rsidRDefault="00FE0649" w:rsidP="002652CD">
      <w:pPr>
        <w:pStyle w:val="AERbodytext"/>
      </w:pPr>
      <w:r w:rsidRPr="00FE0649">
        <w:t xml:space="preserve"> </w:t>
      </w:r>
      <w:r w:rsidR="00C33CB2">
        <w:pict>
          <v:shape id="_x0000_i1028"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0.8pt;height:307.4pt">
            <v:imagedata r:id="rId13" o:title=""/>
          </v:shape>
        </w:pict>
      </w:r>
    </w:p>
    <w:p w:rsidR="00F4461C" w:rsidRDefault="00F4461C" w:rsidP="00F4461C">
      <w:pPr>
        <w:pStyle w:val="Figureheading"/>
        <w:numPr>
          <w:ilvl w:val="0"/>
          <w:numId w:val="0"/>
        </w:numPr>
        <w:ind w:left="357" w:hanging="357"/>
      </w:pPr>
      <w:r w:rsidRPr="0030575B">
        <w:t>Figure 3: New South Wales generation and bidding patterns</w:t>
      </w:r>
    </w:p>
    <w:p w:rsidR="002652CD" w:rsidRPr="002652CD" w:rsidRDefault="00FE0649" w:rsidP="002652CD">
      <w:pPr>
        <w:pStyle w:val="AERbodytext"/>
      </w:pPr>
      <w:r w:rsidRPr="00FE0649">
        <w:t xml:space="preserve"> </w:t>
      </w:r>
      <w:r w:rsidR="00C33CB2">
        <w:pict>
          <v:shape id="_x0000_i1029" type="#_x0000_t75" alt="Figure 3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0.8pt;height:307.4pt">
            <v:imagedata r:id="rId14" o:title=""/>
          </v:shape>
        </w:pict>
      </w:r>
    </w:p>
    <w:p w:rsidR="00785F23" w:rsidRPr="00785F23" w:rsidRDefault="00785F23" w:rsidP="00785F23">
      <w:pPr>
        <w:pStyle w:val="AERbodytext"/>
      </w:pPr>
    </w:p>
    <w:p w:rsidR="00F4461C" w:rsidRPr="00D70101" w:rsidRDefault="00F4461C" w:rsidP="00F4461C">
      <w:pPr>
        <w:pStyle w:val="AERbodytext"/>
        <w:spacing w:after="120"/>
        <w:rPr>
          <w:color w:val="FF0000"/>
        </w:rPr>
      </w:pPr>
    </w:p>
    <w:p w:rsidR="00F4461C" w:rsidRDefault="00F4461C" w:rsidP="00F4461C">
      <w:pPr>
        <w:pStyle w:val="Figureheading"/>
        <w:numPr>
          <w:ilvl w:val="0"/>
          <w:numId w:val="0"/>
        </w:numPr>
        <w:ind w:left="357" w:hanging="357"/>
      </w:pPr>
      <w:r w:rsidRPr="0030575B">
        <w:t xml:space="preserve">Figure </w:t>
      </w:r>
      <w:r w:rsidR="00261A37" w:rsidRPr="0030575B">
        <w:t>4</w:t>
      </w:r>
      <w:r w:rsidRPr="0030575B">
        <w:t>: Victoria generation and bidding patterns</w:t>
      </w:r>
    </w:p>
    <w:p w:rsidR="00785F23" w:rsidRPr="00785F23" w:rsidRDefault="00FE0649" w:rsidP="00785F23">
      <w:pPr>
        <w:pStyle w:val="AERbodytext"/>
      </w:pPr>
      <w:r w:rsidRPr="00FE0649">
        <w:t xml:space="preserve"> </w:t>
      </w:r>
      <w:r w:rsidR="00C33CB2">
        <w:pict>
          <v:shape id="_x0000_i1030"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0.8pt;height:307.4pt;mso-position-vertical:absolute">
            <v:imagedata r:id="rId15" o:title=""/>
          </v:shape>
        </w:pict>
      </w:r>
    </w:p>
    <w:p w:rsidR="00C52BE5"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2652CD" w:rsidRPr="002652CD" w:rsidRDefault="00FE0649" w:rsidP="002652CD">
      <w:pPr>
        <w:pStyle w:val="AERbodytext"/>
      </w:pPr>
      <w:r w:rsidRPr="00FE0649">
        <w:t xml:space="preserve"> </w:t>
      </w:r>
      <w:r w:rsidR="00C33CB2">
        <w:pict>
          <v:shape id="_x0000_i1031" type="#_x0000_t75" al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0.8pt;height:308.05pt">
            <v:imagedata r:id="rId16" o:title=""/>
          </v:shape>
        </w:pict>
      </w:r>
    </w:p>
    <w:p w:rsidR="00B027E9" w:rsidRPr="00D70101" w:rsidRDefault="00B027E9">
      <w:pPr>
        <w:pStyle w:val="AERbodytext"/>
        <w:spacing w:after="120"/>
        <w:rPr>
          <w:color w:val="FF0000"/>
        </w:rPr>
      </w:pPr>
    </w:p>
    <w:p w:rsidR="0048688D" w:rsidRDefault="0048688D" w:rsidP="0048688D">
      <w:pPr>
        <w:pStyle w:val="Figureheading"/>
        <w:numPr>
          <w:ilvl w:val="0"/>
          <w:numId w:val="0"/>
        </w:numPr>
        <w:ind w:left="357" w:hanging="357"/>
      </w:pPr>
      <w:r w:rsidRPr="0030575B">
        <w:t xml:space="preserve">Figure </w:t>
      </w:r>
      <w:r w:rsidR="00E27C7A" w:rsidRPr="0030575B">
        <w:t>6</w:t>
      </w:r>
      <w:r w:rsidRPr="0030575B">
        <w:t>: Tasmania</w:t>
      </w:r>
      <w:r w:rsidR="00D96C94" w:rsidRPr="0030575B">
        <w:t xml:space="preserve"> generation and bidding patterns</w:t>
      </w:r>
    </w:p>
    <w:p w:rsidR="00B027E9" w:rsidRDefault="002F75CC" w:rsidP="002652CD">
      <w:pPr>
        <w:pStyle w:val="AERbodytext"/>
      </w:pPr>
      <w:r w:rsidRPr="002F75CC">
        <w:t xml:space="preserve"> </w:t>
      </w:r>
      <w:r w:rsidR="00C33CB2">
        <w:pict>
          <v:shape id="_x0000_i1032"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0.8pt;height:307.4pt;mso-position-vertical:absolute">
            <v:imagedata r:id="rId17" o:title=""/>
          </v:shape>
        </w:pict>
      </w:r>
    </w:p>
    <w:p w:rsidR="000F3533" w:rsidRPr="00D70101" w:rsidRDefault="000F3533">
      <w:pPr>
        <w:pStyle w:val="AERbodytext"/>
        <w:spacing w:after="120"/>
        <w:rPr>
          <w:color w:val="FF0000"/>
        </w:rPr>
      </w:pP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6705E3" w:rsidRDefault="00F618E2" w:rsidP="00021E37">
      <w:pPr>
        <w:pStyle w:val="AERbodytext"/>
      </w:pPr>
      <w:r w:rsidRPr="00F618E2">
        <w:t>The total cost of FCAS on the mainland for the week was $</w:t>
      </w:r>
      <w:r w:rsidR="00436CA9">
        <w:t xml:space="preserve">1.3 M </w:t>
      </w:r>
      <w:r w:rsidRPr="00F618E2">
        <w:t>or less than 1 per cent of energy turnover on the</w:t>
      </w:r>
      <w:r>
        <w:t xml:space="preserve"> mainland</w:t>
      </w:r>
      <w:r w:rsidR="00221B68" w:rsidRPr="00021E37">
        <w:t xml:space="preserve">. </w:t>
      </w:r>
      <w:r w:rsidR="00BC058F">
        <w:t xml:space="preserve">A majority of this cost </w:t>
      </w:r>
      <w:r w:rsidR="003A4FD7">
        <w:t xml:space="preserve">($982 000) </w:t>
      </w:r>
      <w:r w:rsidR="00BC058F">
        <w:t>accrued in South Australia on 8 and 10 September for lower services.</w:t>
      </w:r>
      <w:r w:rsidR="003A4FD7">
        <w:t xml:space="preserve"> See the weekly spotlight for detailed analysis.</w:t>
      </w:r>
    </w:p>
    <w:p w:rsidR="008F05E6" w:rsidRPr="00021E37" w:rsidRDefault="00753DF7" w:rsidP="00021E37">
      <w:pPr>
        <w:pStyle w:val="AERbodytext"/>
      </w:pPr>
      <w:r w:rsidRPr="00021E37">
        <w:t xml:space="preserve">In </w:t>
      </w:r>
      <w:r w:rsidR="00221B68" w:rsidRPr="00021E37">
        <w:t xml:space="preserve">Tasmania </w:t>
      </w:r>
      <w:r w:rsidRPr="00021E37">
        <w:t xml:space="preserve">(which requires dedicated services for much of the time) the total cost </w:t>
      </w:r>
      <w:r w:rsidR="00221B68" w:rsidRPr="00021E37">
        <w:t>for the week was $</w:t>
      </w:r>
      <w:r w:rsidR="00436CA9">
        <w:t>40</w:t>
      </w:r>
      <w:r w:rsidR="00436CA9" w:rsidRPr="00021E37">
        <w:t> </w:t>
      </w:r>
      <w:r w:rsidR="00436CA9">
        <w:t>5</w:t>
      </w:r>
      <w:r w:rsidR="00221B68" w:rsidRPr="00021E37">
        <w:t xml:space="preserve">00 or </w:t>
      </w:r>
      <w:r w:rsidR="00537009">
        <w:t xml:space="preserve">less than </w:t>
      </w:r>
      <w:r w:rsidR="00DD7812">
        <w:t>1</w:t>
      </w:r>
      <w:r w:rsidR="008245F0" w:rsidRPr="00021E37">
        <w:t xml:space="preserve"> </w:t>
      </w:r>
      <w:r w:rsidR="00221B68" w:rsidRPr="00021E37">
        <w:t>per cent of energy turnover in Tasmania</w:t>
      </w:r>
      <w:r w:rsidR="008F05E6" w:rsidRPr="00021E37">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t xml:space="preserve">Figure </w:t>
      </w:r>
      <w:r w:rsidR="00E27C7A" w:rsidRPr="0030575B">
        <w:t>7</w:t>
      </w:r>
      <w:r w:rsidRPr="0030575B">
        <w:t>: Daily frequency control ancillary service cost</w:t>
      </w:r>
    </w:p>
    <w:p w:rsidR="002652CD" w:rsidRPr="002652CD" w:rsidRDefault="00C33CB2" w:rsidP="002652CD">
      <w:pPr>
        <w:pStyle w:val="AERbodytext"/>
      </w:pPr>
      <w:r>
        <w:pict>
          <v:shape id="_x0000_i1033" type="#_x0000_t75" alt="Figure 7 shows the daily breakdown of cost for each FCAS for the NEM, as well as the average cost since the beginning of the previous financial year.&#10;Should you require a description of the data for the week under review, please email us at  AERInquiry@aer.gov.au." style="width:450.8pt;height:224.75pt">
            <v:imagedata r:id="rId18" o:title=""/>
          </v:shape>
        </w:pict>
      </w:r>
    </w:p>
    <w:bookmarkEnd w:id="0"/>
    <w:bookmarkEnd w:id="1"/>
    <w:bookmarkEnd w:id="2"/>
    <w:bookmarkEnd w:id="3"/>
    <w:bookmarkEnd w:id="4"/>
    <w:bookmarkEnd w:id="5"/>
    <w:p w:rsidR="003A4158" w:rsidRDefault="003A4158" w:rsidP="003A4158">
      <w:pPr>
        <w:pStyle w:val="Heading2"/>
      </w:pPr>
      <w:r>
        <w:t>Detailed market analysis of significant price events</w:t>
      </w:r>
    </w:p>
    <w:p w:rsidR="003A4158" w:rsidRDefault="003A4158" w:rsidP="003A4158">
      <w:pPr>
        <w:pStyle w:val="AERbodytext"/>
      </w:pPr>
      <w:r>
        <w:t xml:space="preserve">We provide more detailed analysis of events where the spot price was greater than three times the </w:t>
      </w:r>
      <w:r w:rsidRPr="00617793">
        <w:t xml:space="preserve">weekly average price in a region and above $250/MWh or was below </w:t>
      </w:r>
      <w:r w:rsidRPr="00617793">
        <w:noBreakHyphen/>
        <w:t xml:space="preserve">$100/MWh. </w:t>
      </w:r>
    </w:p>
    <w:p w:rsidR="00AC0EAE" w:rsidRDefault="00AC0EAE" w:rsidP="00AC0EAE">
      <w:pPr>
        <w:rPr>
          <w:lang w:eastAsia="en-US"/>
        </w:rPr>
      </w:pPr>
      <w:r w:rsidRPr="00AC0EAE">
        <w:rPr>
          <w:lang w:eastAsia="en-US"/>
        </w:rPr>
        <w:t xml:space="preserve">There </w:t>
      </w:r>
      <w:r w:rsidR="00DF2B92">
        <w:rPr>
          <w:lang w:eastAsia="en-US"/>
        </w:rPr>
        <w:t>were three</w:t>
      </w:r>
      <w:r w:rsidRPr="00AC0EAE">
        <w:rPr>
          <w:lang w:eastAsia="en-US"/>
        </w:rPr>
        <w:t xml:space="preserve"> </w:t>
      </w:r>
      <w:r>
        <w:rPr>
          <w:lang w:eastAsia="en-US"/>
        </w:rPr>
        <w:t xml:space="preserve">such </w:t>
      </w:r>
      <w:r w:rsidRPr="00AC0EAE">
        <w:rPr>
          <w:lang w:eastAsia="en-US"/>
        </w:rPr>
        <w:t>occasion</w:t>
      </w:r>
      <w:r w:rsidR="00DF2B92">
        <w:rPr>
          <w:lang w:eastAsia="en-US"/>
        </w:rPr>
        <w:t>s this week in South Australia</w:t>
      </w:r>
      <w:r w:rsidRPr="00AC0EAE">
        <w:rPr>
          <w:lang w:eastAsia="en-US"/>
        </w:rPr>
        <w:t>.</w:t>
      </w:r>
    </w:p>
    <w:p w:rsidR="00CD1060" w:rsidRDefault="00CD1060" w:rsidP="00E12907">
      <w:pPr>
        <w:pStyle w:val="AERbodytext"/>
      </w:pPr>
    </w:p>
    <w:p w:rsidR="00CD1060" w:rsidRPr="00E12907" w:rsidRDefault="00CD1060" w:rsidP="00AC0EAE">
      <w:pPr>
        <w:rPr>
          <w:b/>
          <w:lang w:eastAsia="en-US"/>
        </w:rPr>
      </w:pPr>
      <w:r w:rsidRPr="00E12907">
        <w:rPr>
          <w:b/>
          <w:lang w:eastAsia="en-US"/>
        </w:rPr>
        <w:t>Sunday 8 September</w:t>
      </w:r>
    </w:p>
    <w:p w:rsidR="003A4158" w:rsidRPr="00470218" w:rsidRDefault="003A4158" w:rsidP="003A4158">
      <w:pPr>
        <w:pStyle w:val="AERtabletitle"/>
      </w:pPr>
      <w:r w:rsidRPr="00470218">
        <w:t xml:space="preserve">Table 3: </w:t>
      </w:r>
      <w:r w:rsidR="00DF2B92">
        <w:t>South Australia</w:t>
      </w:r>
      <w:r w:rsidRPr="00470218">
        <w:t xml:space="preserve">, </w:t>
      </w:r>
      <w:r w:rsidR="00DF2B92">
        <w:t>Sunday</w:t>
      </w:r>
      <w:r w:rsidRPr="00470218">
        <w:t> </w:t>
      </w:r>
      <w:r w:rsidR="00DF2B92">
        <w:t>8</w:t>
      </w:r>
      <w:r w:rsidR="00942195">
        <w:t> September</w:t>
      </w:r>
      <w:r w:rsidR="00942195">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3A4158" w:rsidRPr="00095C39" w:rsidTr="003A4158">
        <w:tc>
          <w:tcPr>
            <w:tcW w:w="2802" w:type="dxa"/>
            <w:shd w:val="clear" w:color="auto" w:fill="4A442A"/>
            <w:noWrap/>
            <w:vAlign w:val="bottom"/>
          </w:tcPr>
          <w:p w:rsidR="003A4158" w:rsidRPr="00186747" w:rsidRDefault="00942195" w:rsidP="00DF2B92">
            <w:pPr>
              <w:autoSpaceDE w:val="0"/>
              <w:autoSpaceDN w:val="0"/>
              <w:adjustRightInd w:val="0"/>
              <w:spacing w:before="100" w:after="100"/>
              <w:rPr>
                <w:color w:val="FFFFFF"/>
                <w:sz w:val="18"/>
                <w:szCs w:val="18"/>
              </w:rPr>
            </w:pPr>
            <w:r>
              <w:rPr>
                <w:b/>
                <w:bCs/>
                <w:color w:val="FFFFFF"/>
                <w:sz w:val="18"/>
                <w:szCs w:val="18"/>
              </w:rPr>
              <w:t>6</w:t>
            </w:r>
            <w:r w:rsidR="003A4158" w:rsidRPr="00186747">
              <w:rPr>
                <w:b/>
                <w:bCs/>
                <w:color w:val="FFFFFF"/>
                <w:sz w:val="18"/>
                <w:szCs w:val="18"/>
              </w:rPr>
              <w:t xml:space="preserve"> </w:t>
            </w:r>
            <w:r>
              <w:rPr>
                <w:b/>
                <w:bCs/>
                <w:color w:val="FFFFFF"/>
                <w:sz w:val="18"/>
                <w:szCs w:val="18"/>
              </w:rPr>
              <w:t>P</w:t>
            </w:r>
            <w:r w:rsidR="003A4158" w:rsidRPr="00186747">
              <w:rPr>
                <w:b/>
                <w:bCs/>
                <w:color w:val="FFFFFF"/>
                <w:sz w:val="18"/>
                <w:szCs w:val="18"/>
              </w:rPr>
              <w:t>M</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DF2B92" w:rsidRPr="00095C39" w:rsidTr="003E12CD">
        <w:tc>
          <w:tcPr>
            <w:tcW w:w="2802" w:type="dxa"/>
            <w:shd w:val="clear" w:color="auto" w:fill="DDD9C3"/>
            <w:noWrap/>
            <w:vAlign w:val="bottom"/>
          </w:tcPr>
          <w:p w:rsidR="00DF2B92" w:rsidRPr="003E12CD" w:rsidRDefault="00DF2B92" w:rsidP="003E12CD">
            <w:pPr>
              <w:pStyle w:val="AERtabletext-numbers"/>
              <w:jc w:val="left"/>
              <w:rPr>
                <w:b/>
              </w:rPr>
            </w:pPr>
            <w:r w:rsidRPr="003E12CD">
              <w:rPr>
                <w:b/>
              </w:rPr>
              <w:t>Price ($/MWh)</w:t>
            </w:r>
          </w:p>
        </w:tc>
        <w:tc>
          <w:tcPr>
            <w:tcW w:w="2090" w:type="dxa"/>
            <w:shd w:val="clear" w:color="auto" w:fill="DDD9C3"/>
            <w:noWrap/>
            <w:vAlign w:val="bottom"/>
          </w:tcPr>
          <w:p w:rsidR="00DF2B92" w:rsidRPr="00DF2B92" w:rsidRDefault="00DF2B92" w:rsidP="00DF2B92">
            <w:pPr>
              <w:pStyle w:val="AERtabletext-numbers"/>
              <w:jc w:val="center"/>
            </w:pPr>
            <w:r w:rsidRPr="00DF2B92">
              <w:t>350.07</w:t>
            </w:r>
          </w:p>
        </w:tc>
        <w:tc>
          <w:tcPr>
            <w:tcW w:w="2090" w:type="dxa"/>
            <w:shd w:val="clear" w:color="auto" w:fill="DDD9C3"/>
            <w:noWrap/>
            <w:vAlign w:val="bottom"/>
          </w:tcPr>
          <w:p w:rsidR="00DF2B92" w:rsidRPr="00DF2B92" w:rsidRDefault="00DF2B92" w:rsidP="00DF2B92">
            <w:pPr>
              <w:pStyle w:val="AERtabletext-numbers"/>
              <w:jc w:val="center"/>
            </w:pPr>
            <w:r w:rsidRPr="00DF2B92">
              <w:t>56.51</w:t>
            </w:r>
          </w:p>
        </w:tc>
        <w:tc>
          <w:tcPr>
            <w:tcW w:w="2090" w:type="dxa"/>
            <w:shd w:val="clear" w:color="auto" w:fill="DDD9C3"/>
            <w:noWrap/>
            <w:vAlign w:val="bottom"/>
          </w:tcPr>
          <w:p w:rsidR="00DF2B92" w:rsidRPr="00DF2B92" w:rsidRDefault="00DF2B92" w:rsidP="00DF2B92">
            <w:pPr>
              <w:pStyle w:val="AERtabletext-numbers"/>
              <w:jc w:val="center"/>
            </w:pPr>
            <w:r w:rsidRPr="00DF2B92">
              <w:t>56.69</w:t>
            </w:r>
          </w:p>
        </w:tc>
      </w:tr>
      <w:tr w:rsidR="00DF2B92" w:rsidRPr="00095C39" w:rsidTr="003E12CD">
        <w:tc>
          <w:tcPr>
            <w:tcW w:w="2802" w:type="dxa"/>
            <w:tcBorders>
              <w:bottom w:val="nil"/>
            </w:tcBorders>
            <w:shd w:val="clear" w:color="auto" w:fill="EEECE1"/>
            <w:noWrap/>
            <w:vAlign w:val="bottom"/>
          </w:tcPr>
          <w:p w:rsidR="00DF2B92" w:rsidRPr="003E12CD" w:rsidRDefault="00DF2B92" w:rsidP="003E12CD">
            <w:pPr>
              <w:pStyle w:val="AERtabletext-numbers"/>
              <w:jc w:val="left"/>
              <w:rPr>
                <w:b/>
              </w:rPr>
            </w:pPr>
            <w:r w:rsidRPr="003E12CD">
              <w:rPr>
                <w:b/>
              </w:rPr>
              <w:t>Demand (MW)</w:t>
            </w:r>
          </w:p>
        </w:tc>
        <w:tc>
          <w:tcPr>
            <w:tcW w:w="2090" w:type="dxa"/>
            <w:tcBorders>
              <w:bottom w:val="nil"/>
            </w:tcBorders>
            <w:shd w:val="clear" w:color="auto" w:fill="EEECE1"/>
            <w:noWrap/>
            <w:vAlign w:val="bottom"/>
          </w:tcPr>
          <w:p w:rsidR="00DF2B92" w:rsidRPr="00DF2B92" w:rsidRDefault="00DF2B92" w:rsidP="00DF2B92">
            <w:pPr>
              <w:pStyle w:val="AERtabletext-numbers"/>
              <w:jc w:val="center"/>
            </w:pPr>
            <w:r w:rsidRPr="00DF2B92">
              <w:t>1169</w:t>
            </w:r>
          </w:p>
        </w:tc>
        <w:tc>
          <w:tcPr>
            <w:tcW w:w="2090" w:type="dxa"/>
            <w:tcBorders>
              <w:bottom w:val="nil"/>
            </w:tcBorders>
            <w:shd w:val="clear" w:color="auto" w:fill="EEECE1"/>
            <w:noWrap/>
            <w:vAlign w:val="bottom"/>
          </w:tcPr>
          <w:p w:rsidR="00DF2B92" w:rsidRPr="00DF2B92" w:rsidRDefault="00DF2B92" w:rsidP="00DF2B92">
            <w:pPr>
              <w:pStyle w:val="AERtabletext-numbers"/>
              <w:jc w:val="center"/>
            </w:pPr>
            <w:r w:rsidRPr="00DF2B92">
              <w:t>1235</w:t>
            </w:r>
          </w:p>
        </w:tc>
        <w:tc>
          <w:tcPr>
            <w:tcW w:w="2090" w:type="dxa"/>
            <w:tcBorders>
              <w:bottom w:val="nil"/>
            </w:tcBorders>
            <w:shd w:val="clear" w:color="auto" w:fill="EEECE1"/>
            <w:noWrap/>
            <w:vAlign w:val="bottom"/>
          </w:tcPr>
          <w:p w:rsidR="00DF2B92" w:rsidRPr="00DF2B92" w:rsidRDefault="00DF2B92" w:rsidP="00DF2B92">
            <w:pPr>
              <w:pStyle w:val="AERtabletext-numbers"/>
              <w:jc w:val="center"/>
            </w:pPr>
            <w:r w:rsidRPr="00DF2B92">
              <w:t>1185</w:t>
            </w:r>
          </w:p>
        </w:tc>
      </w:tr>
      <w:tr w:rsidR="00DF2B92" w:rsidRPr="00095C39" w:rsidTr="003E12CD">
        <w:tc>
          <w:tcPr>
            <w:tcW w:w="2802" w:type="dxa"/>
            <w:tcBorders>
              <w:top w:val="nil"/>
              <w:bottom w:val="single" w:sz="4" w:space="0" w:color="auto"/>
            </w:tcBorders>
            <w:shd w:val="clear" w:color="auto" w:fill="DDD9C3"/>
            <w:noWrap/>
            <w:vAlign w:val="bottom"/>
          </w:tcPr>
          <w:p w:rsidR="00DF2B92" w:rsidRPr="003E12CD" w:rsidRDefault="00DF2B92" w:rsidP="003E12CD">
            <w:pPr>
              <w:pStyle w:val="AERtabletext-numbers"/>
              <w:jc w:val="left"/>
              <w:rPr>
                <w:b/>
              </w:rPr>
            </w:pPr>
            <w:r w:rsidRPr="003E12CD">
              <w:rPr>
                <w:b/>
              </w:rPr>
              <w:t>Available capacity (MW)</w:t>
            </w:r>
          </w:p>
        </w:tc>
        <w:tc>
          <w:tcPr>
            <w:tcW w:w="2090" w:type="dxa"/>
            <w:tcBorders>
              <w:top w:val="nil"/>
              <w:bottom w:val="single" w:sz="4" w:space="0" w:color="auto"/>
            </w:tcBorders>
            <w:shd w:val="clear" w:color="auto" w:fill="DDD9C3"/>
            <w:noWrap/>
            <w:vAlign w:val="bottom"/>
          </w:tcPr>
          <w:p w:rsidR="00DF2B92" w:rsidRPr="00DF2B92" w:rsidRDefault="00DF2B92" w:rsidP="00DF2B92">
            <w:pPr>
              <w:pStyle w:val="AERtabletext-numbers"/>
              <w:jc w:val="center"/>
            </w:pPr>
            <w:r w:rsidRPr="00DF2B92">
              <w:t>2203</w:t>
            </w:r>
          </w:p>
        </w:tc>
        <w:tc>
          <w:tcPr>
            <w:tcW w:w="2090" w:type="dxa"/>
            <w:tcBorders>
              <w:top w:val="nil"/>
              <w:bottom w:val="single" w:sz="4" w:space="0" w:color="auto"/>
            </w:tcBorders>
            <w:shd w:val="clear" w:color="auto" w:fill="DDD9C3"/>
            <w:noWrap/>
            <w:vAlign w:val="bottom"/>
          </w:tcPr>
          <w:p w:rsidR="00DF2B92" w:rsidRPr="00DF2B92" w:rsidRDefault="00DF2B92" w:rsidP="00DF2B92">
            <w:pPr>
              <w:pStyle w:val="AERtabletext-numbers"/>
              <w:jc w:val="center"/>
            </w:pPr>
            <w:r w:rsidRPr="00DF2B92">
              <w:t>2174</w:t>
            </w:r>
          </w:p>
        </w:tc>
        <w:tc>
          <w:tcPr>
            <w:tcW w:w="2090" w:type="dxa"/>
            <w:tcBorders>
              <w:top w:val="nil"/>
              <w:bottom w:val="single" w:sz="4" w:space="0" w:color="auto"/>
            </w:tcBorders>
            <w:shd w:val="clear" w:color="auto" w:fill="DDD9C3"/>
            <w:noWrap/>
            <w:vAlign w:val="bottom"/>
          </w:tcPr>
          <w:p w:rsidR="00DF2B92" w:rsidRPr="00DF2B92" w:rsidRDefault="00DF2B92" w:rsidP="00DF2B92">
            <w:pPr>
              <w:pStyle w:val="AERtabletext-numbers"/>
              <w:jc w:val="center"/>
            </w:pPr>
            <w:r w:rsidRPr="00DF2B92">
              <w:t>2169</w:t>
            </w:r>
          </w:p>
        </w:tc>
      </w:tr>
    </w:tbl>
    <w:p w:rsidR="00B25006" w:rsidRDefault="00DE2FAA" w:rsidP="00942195">
      <w:pPr>
        <w:pStyle w:val="AERbodytext"/>
        <w:rPr>
          <w:lang w:eastAsia="en-AU"/>
        </w:rPr>
      </w:pPr>
      <w:r>
        <w:rPr>
          <w:lang w:eastAsia="en-AU"/>
        </w:rPr>
        <w:br/>
        <w:t>Demand and available capacity were</w:t>
      </w:r>
      <w:r w:rsidR="00B25006">
        <w:rPr>
          <w:lang w:eastAsia="en-AU"/>
        </w:rPr>
        <w:t xml:space="preserve"> close to forecast. </w:t>
      </w:r>
    </w:p>
    <w:p w:rsidR="00570313" w:rsidRDefault="002A73E3" w:rsidP="00570313">
      <w:pPr>
        <w:pStyle w:val="AERbodytext"/>
        <w:rPr>
          <w:lang w:eastAsia="en-AU"/>
        </w:rPr>
      </w:pPr>
      <w:r>
        <w:rPr>
          <w:lang w:eastAsia="en-AU"/>
        </w:rPr>
        <w:t>Earlier in the day</w:t>
      </w:r>
      <w:r w:rsidR="00570313">
        <w:rPr>
          <w:lang w:eastAsia="en-AU"/>
        </w:rPr>
        <w:t xml:space="preserve"> the </w:t>
      </w:r>
      <w:r>
        <w:rPr>
          <w:lang w:eastAsia="en-AU"/>
        </w:rPr>
        <w:t xml:space="preserve">Heywood to </w:t>
      </w:r>
      <w:r w:rsidR="00570313">
        <w:rPr>
          <w:lang w:eastAsia="en-AU"/>
        </w:rPr>
        <w:t xml:space="preserve">Portland to </w:t>
      </w:r>
      <w:proofErr w:type="spellStart"/>
      <w:r>
        <w:rPr>
          <w:lang w:eastAsia="en-AU"/>
        </w:rPr>
        <w:t>Tarrone</w:t>
      </w:r>
      <w:proofErr w:type="spellEnd"/>
      <w:r w:rsidR="00570313">
        <w:rPr>
          <w:lang w:eastAsia="en-AU"/>
        </w:rPr>
        <w:t xml:space="preserve"> No. </w:t>
      </w:r>
      <w:r>
        <w:rPr>
          <w:lang w:eastAsia="en-AU"/>
        </w:rPr>
        <w:t>1</w:t>
      </w:r>
      <w:r w:rsidR="00570313">
        <w:rPr>
          <w:lang w:eastAsia="en-AU"/>
        </w:rPr>
        <w:t xml:space="preserve"> </w:t>
      </w:r>
      <w:r>
        <w:rPr>
          <w:lang w:eastAsia="en-AU"/>
        </w:rPr>
        <w:t>500kV line</w:t>
      </w:r>
      <w:r w:rsidR="00570313">
        <w:rPr>
          <w:lang w:eastAsia="en-AU"/>
        </w:rPr>
        <w:t xml:space="preserve"> w</w:t>
      </w:r>
      <w:r>
        <w:rPr>
          <w:lang w:eastAsia="en-AU"/>
        </w:rPr>
        <w:t>as</w:t>
      </w:r>
      <w:r w:rsidR="00570313">
        <w:rPr>
          <w:lang w:eastAsia="en-AU"/>
        </w:rPr>
        <w:t xml:space="preserve"> taken out of service </w:t>
      </w:r>
      <w:r w:rsidR="00CD1060">
        <w:rPr>
          <w:lang w:eastAsia="en-AU"/>
        </w:rPr>
        <w:t xml:space="preserve">on </w:t>
      </w:r>
      <w:r w:rsidR="00570313">
        <w:rPr>
          <w:lang w:eastAsia="en-AU"/>
        </w:rPr>
        <w:t>a planned outage</w:t>
      </w:r>
      <w:r>
        <w:rPr>
          <w:lang w:eastAsia="en-AU"/>
        </w:rPr>
        <w:t xml:space="preserve"> and </w:t>
      </w:r>
      <w:r w:rsidR="00F6595F">
        <w:rPr>
          <w:lang w:eastAsia="en-AU"/>
        </w:rPr>
        <w:t xml:space="preserve">was </w:t>
      </w:r>
      <w:r>
        <w:rPr>
          <w:lang w:eastAsia="en-AU"/>
        </w:rPr>
        <w:t>due to return to service at 5.30 pm</w:t>
      </w:r>
      <w:r w:rsidR="00570313">
        <w:rPr>
          <w:lang w:eastAsia="en-AU"/>
        </w:rPr>
        <w:t>.</w:t>
      </w:r>
      <w:r w:rsidR="00631735">
        <w:rPr>
          <w:lang w:eastAsia="en-AU"/>
        </w:rPr>
        <w:t xml:space="preserve"> AEMO invoke</w:t>
      </w:r>
      <w:r w:rsidR="00456688">
        <w:rPr>
          <w:lang w:eastAsia="en-AU"/>
        </w:rPr>
        <w:t>d</w:t>
      </w:r>
      <w:r w:rsidR="00631735">
        <w:rPr>
          <w:lang w:eastAsia="en-AU"/>
        </w:rPr>
        <w:t xml:space="preserve"> a constraint to manage this outage which only </w:t>
      </w:r>
      <w:r w:rsidR="00295AFC">
        <w:rPr>
          <w:lang w:eastAsia="en-AU"/>
        </w:rPr>
        <w:t>effects</w:t>
      </w:r>
      <w:r w:rsidR="00631735">
        <w:rPr>
          <w:lang w:eastAsia="en-AU"/>
        </w:rPr>
        <w:t xml:space="preserve"> </w:t>
      </w:r>
      <w:r w:rsidR="00295AFC">
        <w:rPr>
          <w:lang w:eastAsia="en-AU"/>
        </w:rPr>
        <w:t xml:space="preserve">Mortlake Power Station </w:t>
      </w:r>
      <w:r w:rsidR="00631735">
        <w:rPr>
          <w:lang w:eastAsia="en-AU"/>
        </w:rPr>
        <w:t>and the Heywood interconnector</w:t>
      </w:r>
      <w:r w:rsidR="00295AFC">
        <w:rPr>
          <w:lang w:eastAsia="en-AU"/>
        </w:rPr>
        <w:t>.</w:t>
      </w:r>
    </w:p>
    <w:p w:rsidR="00570313" w:rsidRDefault="00570313" w:rsidP="00570313">
      <w:pPr>
        <w:pStyle w:val="AERbodytext"/>
        <w:rPr>
          <w:lang w:eastAsia="en-AU"/>
        </w:rPr>
      </w:pPr>
      <w:r>
        <w:rPr>
          <w:lang w:eastAsia="en-AU"/>
        </w:rPr>
        <w:t xml:space="preserve">Mortlake was to commence generation </w:t>
      </w:r>
      <w:r w:rsidR="002A73E3">
        <w:rPr>
          <w:lang w:eastAsia="en-AU"/>
        </w:rPr>
        <w:t>at 5.35 pm (after the outage was complete) with all its capacity priced either at the price floor or around $50/MWh.</w:t>
      </w:r>
      <w:r>
        <w:rPr>
          <w:lang w:eastAsia="en-AU"/>
        </w:rPr>
        <w:t xml:space="preserve"> </w:t>
      </w:r>
    </w:p>
    <w:p w:rsidR="00570313" w:rsidRDefault="00C01BB9" w:rsidP="00570313">
      <w:pPr>
        <w:pStyle w:val="AERbodytext"/>
        <w:rPr>
          <w:lang w:eastAsia="en-AU"/>
        </w:rPr>
      </w:pPr>
      <w:r>
        <w:rPr>
          <w:lang w:eastAsia="en-AU"/>
        </w:rPr>
        <w:t xml:space="preserve">At around 5 pm the </w:t>
      </w:r>
      <w:r w:rsidR="002A73E3">
        <w:rPr>
          <w:lang w:eastAsia="en-AU"/>
        </w:rPr>
        <w:t>outage was extended</w:t>
      </w:r>
      <w:r w:rsidR="00295AFC">
        <w:rPr>
          <w:lang w:eastAsia="en-AU"/>
        </w:rPr>
        <w:t>. A</w:t>
      </w:r>
      <w:r w:rsidR="00F16A9A">
        <w:rPr>
          <w:lang w:eastAsia="en-AU"/>
        </w:rPr>
        <w:t xml:space="preserve">t 5.40 pm Mortlake </w:t>
      </w:r>
      <w:r w:rsidR="00631735">
        <w:rPr>
          <w:lang w:eastAsia="en-AU"/>
        </w:rPr>
        <w:t>received a target to generate</w:t>
      </w:r>
      <w:r w:rsidR="00295AFC">
        <w:rPr>
          <w:lang w:eastAsia="en-AU"/>
        </w:rPr>
        <w:t xml:space="preserve"> and by 5.50 pm was targeted at 180 MW</w:t>
      </w:r>
      <w:r w:rsidR="00F16A9A">
        <w:rPr>
          <w:lang w:eastAsia="en-AU"/>
        </w:rPr>
        <w:t>.</w:t>
      </w:r>
      <w:r w:rsidR="002A73E3">
        <w:rPr>
          <w:lang w:eastAsia="en-AU"/>
        </w:rPr>
        <w:t xml:space="preserve"> </w:t>
      </w:r>
      <w:r w:rsidR="00F27D24">
        <w:rPr>
          <w:lang w:eastAsia="en-AU"/>
        </w:rPr>
        <w:t>T</w:t>
      </w:r>
      <w:r w:rsidR="00570313">
        <w:rPr>
          <w:lang w:eastAsia="en-AU"/>
        </w:rPr>
        <w:t>he Heywood interconnector change</w:t>
      </w:r>
      <w:r w:rsidR="00F27D24">
        <w:rPr>
          <w:lang w:eastAsia="en-AU"/>
        </w:rPr>
        <w:t>d</w:t>
      </w:r>
      <w:r w:rsidR="00570313">
        <w:rPr>
          <w:lang w:eastAsia="en-AU"/>
        </w:rPr>
        <w:t xml:space="preserve"> from importing </w:t>
      </w:r>
      <w:r w:rsidR="00F6595F">
        <w:rPr>
          <w:lang w:eastAsia="en-AU"/>
        </w:rPr>
        <w:t>250 </w:t>
      </w:r>
      <w:r w:rsidR="00570313">
        <w:rPr>
          <w:lang w:eastAsia="en-AU"/>
        </w:rPr>
        <w:t>MW into S</w:t>
      </w:r>
      <w:r w:rsidR="00F6595F">
        <w:rPr>
          <w:lang w:eastAsia="en-AU"/>
        </w:rPr>
        <w:t>outh Australia</w:t>
      </w:r>
      <w:r w:rsidR="00570313">
        <w:rPr>
          <w:lang w:eastAsia="en-AU"/>
        </w:rPr>
        <w:t xml:space="preserve"> at </w:t>
      </w:r>
      <w:r w:rsidR="00F6595F">
        <w:rPr>
          <w:lang w:eastAsia="en-AU"/>
        </w:rPr>
        <w:t>5.45 p</w:t>
      </w:r>
      <w:r w:rsidR="00570313">
        <w:rPr>
          <w:lang w:eastAsia="en-AU"/>
        </w:rPr>
        <w:t xml:space="preserve">m to </w:t>
      </w:r>
      <w:r w:rsidR="00F6595F">
        <w:rPr>
          <w:lang w:eastAsia="en-AU"/>
        </w:rPr>
        <w:t>55 </w:t>
      </w:r>
      <w:r w:rsidR="00570313">
        <w:rPr>
          <w:lang w:eastAsia="en-AU"/>
        </w:rPr>
        <w:t xml:space="preserve">MW </w:t>
      </w:r>
      <w:r w:rsidR="00CD1060">
        <w:rPr>
          <w:lang w:eastAsia="en-AU"/>
        </w:rPr>
        <w:t xml:space="preserve">forced </w:t>
      </w:r>
      <w:r w:rsidR="001244BE">
        <w:rPr>
          <w:lang w:eastAsia="en-AU"/>
        </w:rPr>
        <w:t xml:space="preserve">export </w:t>
      </w:r>
      <w:r w:rsidR="00570313">
        <w:rPr>
          <w:lang w:eastAsia="en-AU"/>
        </w:rPr>
        <w:t>to V</w:t>
      </w:r>
      <w:r w:rsidR="00F6595F">
        <w:rPr>
          <w:lang w:eastAsia="en-AU"/>
        </w:rPr>
        <w:t>ictoria</w:t>
      </w:r>
      <w:r w:rsidR="00570313">
        <w:rPr>
          <w:lang w:eastAsia="en-AU"/>
        </w:rPr>
        <w:t xml:space="preserve"> </w:t>
      </w:r>
      <w:r w:rsidR="00F6595F">
        <w:rPr>
          <w:lang w:eastAsia="en-AU"/>
        </w:rPr>
        <w:t>at 5.50 p</w:t>
      </w:r>
      <w:r w:rsidR="00570313">
        <w:rPr>
          <w:lang w:eastAsia="en-AU"/>
        </w:rPr>
        <w:t>m</w:t>
      </w:r>
      <w:r w:rsidR="00295AFC">
        <w:rPr>
          <w:lang w:eastAsia="en-AU"/>
        </w:rPr>
        <w:t xml:space="preserve"> </w:t>
      </w:r>
      <w:r w:rsidR="00F27D24">
        <w:rPr>
          <w:lang w:eastAsia="en-AU"/>
        </w:rPr>
        <w:t xml:space="preserve">to offset the increase in Mortlake generation. </w:t>
      </w:r>
      <w:r w:rsidR="00295AFC">
        <w:rPr>
          <w:lang w:eastAsia="en-AU"/>
        </w:rPr>
        <w:t>T</w:t>
      </w:r>
      <w:r w:rsidR="00570313">
        <w:rPr>
          <w:lang w:eastAsia="en-AU"/>
        </w:rPr>
        <w:t xml:space="preserve">he step change </w:t>
      </w:r>
      <w:r w:rsidR="00F27D24">
        <w:rPr>
          <w:lang w:eastAsia="en-AU"/>
        </w:rPr>
        <w:t>across Heywood was not enough to</w:t>
      </w:r>
      <w:r w:rsidR="00295AFC">
        <w:rPr>
          <w:lang w:eastAsia="en-AU"/>
        </w:rPr>
        <w:t xml:space="preserve"> meet the constraint requirements </w:t>
      </w:r>
      <w:r w:rsidR="00570313">
        <w:rPr>
          <w:lang w:eastAsia="en-AU"/>
        </w:rPr>
        <w:t xml:space="preserve">and </w:t>
      </w:r>
      <w:r w:rsidR="00295AFC">
        <w:rPr>
          <w:lang w:eastAsia="en-AU"/>
        </w:rPr>
        <w:t>the constraint violated between 5.50 pm and 6 pm. This saw the</w:t>
      </w:r>
      <w:r w:rsidR="00570313">
        <w:rPr>
          <w:lang w:eastAsia="en-AU"/>
        </w:rPr>
        <w:t xml:space="preserve"> 5</w:t>
      </w:r>
      <w:r w:rsidR="00295AFC">
        <w:rPr>
          <w:lang w:eastAsia="en-AU"/>
        </w:rPr>
        <w:t xml:space="preserve"> minute</w:t>
      </w:r>
      <w:r w:rsidR="00570313">
        <w:rPr>
          <w:lang w:eastAsia="en-AU"/>
        </w:rPr>
        <w:t xml:space="preserve"> price reach </w:t>
      </w:r>
      <w:r>
        <w:rPr>
          <w:lang w:eastAsia="en-AU"/>
        </w:rPr>
        <w:t>$768/MWh at 5.50 p</w:t>
      </w:r>
      <w:r w:rsidR="00570313">
        <w:rPr>
          <w:lang w:eastAsia="en-AU"/>
        </w:rPr>
        <w:t>m</w:t>
      </w:r>
      <w:r w:rsidR="00295AFC">
        <w:rPr>
          <w:lang w:eastAsia="en-AU"/>
        </w:rPr>
        <w:t>, $398/MWh at 5.55 pm and $753/MWh at 6 pm.</w:t>
      </w:r>
    </w:p>
    <w:p w:rsidR="00C01BB9" w:rsidRDefault="00C01BB9" w:rsidP="00C01BB9">
      <w:pPr>
        <w:pStyle w:val="AERbodytext"/>
        <w:rPr>
          <w:lang w:eastAsia="en-AU"/>
        </w:rPr>
      </w:pPr>
      <w:r>
        <w:rPr>
          <w:lang w:eastAsia="en-AU"/>
        </w:rPr>
        <w:t>The above conditions led to an increase in the requirement for lower FCAS in South Australia.</w:t>
      </w:r>
    </w:p>
    <w:p w:rsidR="001E44C3" w:rsidRDefault="001E44C3" w:rsidP="00C01BB9">
      <w:pPr>
        <w:pStyle w:val="AERbodytext"/>
        <w:rPr>
          <w:lang w:eastAsia="en-AU"/>
        </w:rPr>
      </w:pPr>
      <w:r>
        <w:rPr>
          <w:lang w:eastAsia="en-AU"/>
        </w:rPr>
        <w:t>Prices returned to previous levels at 6.05 pm after Origin rebid all capacity at Mortlake to around $120/MWh and received targets to reduce generation to zero by 6.10 pm. The reason given was “Constraint mgmt. – V_HYML1_5 SL”.</w:t>
      </w:r>
    </w:p>
    <w:p w:rsidR="003A2108" w:rsidRDefault="00756681" w:rsidP="00942195">
      <w:pPr>
        <w:pStyle w:val="AERbodytext"/>
        <w:rPr>
          <w:lang w:eastAsia="en-AU"/>
        </w:rPr>
      </w:pPr>
      <w:r>
        <w:rPr>
          <w:lang w:eastAsia="en-AU"/>
        </w:rPr>
        <w:t>There was no other significant rebidding.</w:t>
      </w:r>
      <w:r w:rsidR="00ED3BD6">
        <w:rPr>
          <w:lang w:eastAsia="en-AU"/>
        </w:rPr>
        <w:t xml:space="preserve"> </w:t>
      </w:r>
    </w:p>
    <w:p w:rsidR="00E12907" w:rsidRDefault="00E12907" w:rsidP="00DF2B92">
      <w:pPr>
        <w:pStyle w:val="AERtabletitle"/>
      </w:pPr>
    </w:p>
    <w:p w:rsidR="00CD1060" w:rsidRPr="00CD1060" w:rsidRDefault="00CD1060" w:rsidP="00DF2B92">
      <w:pPr>
        <w:pStyle w:val="AERtabletitle"/>
      </w:pPr>
      <w:r w:rsidRPr="00CD1060">
        <w:t>Tuesday 10 September</w:t>
      </w:r>
    </w:p>
    <w:p w:rsidR="00DF2B92" w:rsidRPr="00470218" w:rsidRDefault="00DF2B92" w:rsidP="00DF2B92">
      <w:pPr>
        <w:pStyle w:val="AERtabletitle"/>
      </w:pPr>
      <w:r w:rsidRPr="00470218">
        <w:t xml:space="preserve">Table </w:t>
      </w:r>
      <w:r>
        <w:t>4</w:t>
      </w:r>
      <w:r w:rsidRPr="00470218">
        <w:t xml:space="preserve">: </w:t>
      </w:r>
      <w:r>
        <w:t>South Australia</w:t>
      </w:r>
      <w:r w:rsidRPr="00470218">
        <w:t xml:space="preserve">, </w:t>
      </w:r>
      <w:r>
        <w:t>Tuesday</w:t>
      </w:r>
      <w:r w:rsidRPr="00470218">
        <w:t> </w:t>
      </w:r>
      <w:r>
        <w:t>10 September</w:t>
      </w:r>
      <w:r>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DF2B92" w:rsidRPr="00095C39" w:rsidTr="00DF2B92">
        <w:tc>
          <w:tcPr>
            <w:tcW w:w="2802" w:type="dxa"/>
            <w:shd w:val="clear" w:color="auto" w:fill="4A442A"/>
            <w:noWrap/>
            <w:vAlign w:val="bottom"/>
          </w:tcPr>
          <w:p w:rsidR="00DF2B92" w:rsidRPr="00186747" w:rsidRDefault="00DF2B92" w:rsidP="00DF2B92">
            <w:pPr>
              <w:autoSpaceDE w:val="0"/>
              <w:autoSpaceDN w:val="0"/>
              <w:adjustRightInd w:val="0"/>
              <w:spacing w:before="100" w:after="100"/>
              <w:rPr>
                <w:color w:val="FFFFFF"/>
                <w:sz w:val="18"/>
                <w:szCs w:val="18"/>
              </w:rPr>
            </w:pPr>
            <w:r>
              <w:rPr>
                <w:b/>
                <w:bCs/>
                <w:color w:val="FFFFFF"/>
                <w:sz w:val="18"/>
                <w:szCs w:val="18"/>
              </w:rPr>
              <w:t>7.30 A</w:t>
            </w:r>
            <w:r w:rsidRPr="00186747">
              <w:rPr>
                <w:b/>
                <w:bCs/>
                <w:color w:val="FFFFFF"/>
                <w:sz w:val="18"/>
                <w:szCs w:val="18"/>
              </w:rPr>
              <w:t>M</w:t>
            </w:r>
          </w:p>
        </w:tc>
        <w:tc>
          <w:tcPr>
            <w:tcW w:w="2090" w:type="dxa"/>
            <w:shd w:val="clear" w:color="auto" w:fill="4A442A"/>
            <w:noWrap/>
            <w:vAlign w:val="bottom"/>
          </w:tcPr>
          <w:p w:rsidR="00DF2B92" w:rsidRPr="00186747" w:rsidRDefault="00DF2B92" w:rsidP="00DF2B92">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DF2B92" w:rsidRPr="00186747" w:rsidRDefault="00DF2B92" w:rsidP="00DF2B92">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DF2B92" w:rsidRPr="00186747" w:rsidRDefault="00DF2B92" w:rsidP="00DF2B92">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DF2B92" w:rsidRPr="00095C39" w:rsidTr="00DF2B92">
        <w:tc>
          <w:tcPr>
            <w:tcW w:w="2802" w:type="dxa"/>
            <w:shd w:val="clear" w:color="auto" w:fill="DDD9C3"/>
            <w:noWrap/>
            <w:vAlign w:val="bottom"/>
          </w:tcPr>
          <w:p w:rsidR="00DF2B92" w:rsidRPr="00DF2B92" w:rsidRDefault="00DF2B92" w:rsidP="00DF2B92">
            <w:pPr>
              <w:pStyle w:val="AERtabletext-numbers"/>
              <w:jc w:val="left"/>
              <w:rPr>
                <w:b/>
              </w:rPr>
            </w:pPr>
            <w:r w:rsidRPr="00DF2B92">
              <w:rPr>
                <w:b/>
              </w:rPr>
              <w:t>Price ($/MWh)</w:t>
            </w:r>
          </w:p>
        </w:tc>
        <w:tc>
          <w:tcPr>
            <w:tcW w:w="2090" w:type="dxa"/>
            <w:shd w:val="clear" w:color="auto" w:fill="DDD9C3"/>
            <w:noWrap/>
            <w:vAlign w:val="bottom"/>
          </w:tcPr>
          <w:p w:rsidR="00DF2B92" w:rsidRPr="00DF2B92" w:rsidRDefault="00DF2B92" w:rsidP="00DF2B92">
            <w:pPr>
              <w:pStyle w:val="AERtabletext-numbers"/>
              <w:jc w:val="center"/>
            </w:pPr>
            <w:r w:rsidRPr="00DF2B92">
              <w:t>2195.17</w:t>
            </w:r>
          </w:p>
        </w:tc>
        <w:tc>
          <w:tcPr>
            <w:tcW w:w="2090" w:type="dxa"/>
            <w:shd w:val="clear" w:color="auto" w:fill="DDD9C3"/>
            <w:noWrap/>
            <w:vAlign w:val="bottom"/>
          </w:tcPr>
          <w:p w:rsidR="00DF2B92" w:rsidRPr="00DF2B92" w:rsidRDefault="00DF2B92" w:rsidP="00DF2B92">
            <w:pPr>
              <w:pStyle w:val="AERtabletext-numbers"/>
              <w:jc w:val="center"/>
            </w:pPr>
            <w:r w:rsidRPr="00DF2B92">
              <w:t>54.40</w:t>
            </w:r>
          </w:p>
        </w:tc>
        <w:tc>
          <w:tcPr>
            <w:tcW w:w="2090" w:type="dxa"/>
            <w:shd w:val="clear" w:color="auto" w:fill="DDD9C3"/>
            <w:noWrap/>
            <w:vAlign w:val="bottom"/>
          </w:tcPr>
          <w:p w:rsidR="00DF2B92" w:rsidRPr="00DF2B92" w:rsidRDefault="00DF2B92" w:rsidP="00DF2B92">
            <w:pPr>
              <w:pStyle w:val="AERtabletext-numbers"/>
              <w:jc w:val="center"/>
            </w:pPr>
            <w:r w:rsidRPr="00DF2B92">
              <w:t>67.61</w:t>
            </w:r>
          </w:p>
        </w:tc>
      </w:tr>
      <w:tr w:rsidR="00DF2B92" w:rsidRPr="00095C39" w:rsidTr="00DF2B92">
        <w:tc>
          <w:tcPr>
            <w:tcW w:w="2802" w:type="dxa"/>
            <w:tcBorders>
              <w:bottom w:val="nil"/>
            </w:tcBorders>
            <w:shd w:val="clear" w:color="auto" w:fill="EEECE1"/>
            <w:noWrap/>
            <w:vAlign w:val="bottom"/>
          </w:tcPr>
          <w:p w:rsidR="00DF2B92" w:rsidRPr="00DF2B92" w:rsidRDefault="00DF2B92" w:rsidP="00DF2B92">
            <w:pPr>
              <w:pStyle w:val="AERtabletext-numbers"/>
              <w:jc w:val="left"/>
              <w:rPr>
                <w:b/>
              </w:rPr>
            </w:pPr>
            <w:r w:rsidRPr="00DF2B92">
              <w:rPr>
                <w:b/>
              </w:rPr>
              <w:t>Demand (MW)</w:t>
            </w:r>
          </w:p>
        </w:tc>
        <w:tc>
          <w:tcPr>
            <w:tcW w:w="2090" w:type="dxa"/>
            <w:tcBorders>
              <w:bottom w:val="nil"/>
            </w:tcBorders>
            <w:shd w:val="clear" w:color="auto" w:fill="EEECE1"/>
            <w:noWrap/>
            <w:vAlign w:val="bottom"/>
          </w:tcPr>
          <w:p w:rsidR="00DF2B92" w:rsidRPr="00DF2B92" w:rsidRDefault="00DF2B92" w:rsidP="00DF2B92">
            <w:pPr>
              <w:pStyle w:val="AERtabletext-numbers"/>
              <w:jc w:val="center"/>
            </w:pPr>
            <w:r w:rsidRPr="00DF2B92">
              <w:t>1202</w:t>
            </w:r>
          </w:p>
        </w:tc>
        <w:tc>
          <w:tcPr>
            <w:tcW w:w="2090" w:type="dxa"/>
            <w:tcBorders>
              <w:bottom w:val="nil"/>
            </w:tcBorders>
            <w:shd w:val="clear" w:color="auto" w:fill="EEECE1"/>
            <w:noWrap/>
            <w:vAlign w:val="bottom"/>
          </w:tcPr>
          <w:p w:rsidR="00DF2B92" w:rsidRPr="00DF2B92" w:rsidRDefault="00DF2B92" w:rsidP="00DF2B92">
            <w:pPr>
              <w:pStyle w:val="AERtabletext-numbers"/>
              <w:jc w:val="center"/>
            </w:pPr>
            <w:r w:rsidRPr="00DF2B92">
              <w:t>1257</w:t>
            </w:r>
          </w:p>
        </w:tc>
        <w:tc>
          <w:tcPr>
            <w:tcW w:w="2090" w:type="dxa"/>
            <w:tcBorders>
              <w:bottom w:val="nil"/>
            </w:tcBorders>
            <w:shd w:val="clear" w:color="auto" w:fill="EEECE1"/>
            <w:noWrap/>
            <w:vAlign w:val="bottom"/>
          </w:tcPr>
          <w:p w:rsidR="00DF2B92" w:rsidRPr="00DF2B92" w:rsidRDefault="00DF2B92" w:rsidP="00DF2B92">
            <w:pPr>
              <w:pStyle w:val="AERtabletext-numbers"/>
              <w:jc w:val="center"/>
            </w:pPr>
            <w:r w:rsidRPr="00DF2B92">
              <w:t>1312</w:t>
            </w:r>
          </w:p>
        </w:tc>
      </w:tr>
      <w:tr w:rsidR="00DF2B92" w:rsidRPr="00095C39" w:rsidTr="00DF2B92">
        <w:tc>
          <w:tcPr>
            <w:tcW w:w="2802" w:type="dxa"/>
            <w:tcBorders>
              <w:top w:val="nil"/>
              <w:bottom w:val="single" w:sz="4" w:space="0" w:color="auto"/>
            </w:tcBorders>
            <w:shd w:val="clear" w:color="auto" w:fill="DDD9C3"/>
            <w:noWrap/>
            <w:vAlign w:val="bottom"/>
          </w:tcPr>
          <w:p w:rsidR="00DF2B92" w:rsidRPr="00DF2B92" w:rsidRDefault="00DF2B92" w:rsidP="00DF2B92">
            <w:pPr>
              <w:pStyle w:val="AERtabletext-numbers"/>
              <w:jc w:val="left"/>
              <w:rPr>
                <w:b/>
              </w:rPr>
            </w:pPr>
            <w:r w:rsidRPr="00DF2B92">
              <w:rPr>
                <w:b/>
              </w:rPr>
              <w:t>Available capacity (MW)</w:t>
            </w:r>
          </w:p>
        </w:tc>
        <w:tc>
          <w:tcPr>
            <w:tcW w:w="2090" w:type="dxa"/>
            <w:tcBorders>
              <w:top w:val="nil"/>
              <w:bottom w:val="single" w:sz="4" w:space="0" w:color="auto"/>
            </w:tcBorders>
            <w:shd w:val="clear" w:color="auto" w:fill="DDD9C3"/>
            <w:noWrap/>
            <w:vAlign w:val="bottom"/>
          </w:tcPr>
          <w:p w:rsidR="00DF2B92" w:rsidRPr="00DF2B92" w:rsidRDefault="00DF2B92" w:rsidP="00DF2B92">
            <w:pPr>
              <w:pStyle w:val="AERtabletext-numbers"/>
              <w:jc w:val="center"/>
            </w:pPr>
            <w:r w:rsidRPr="00DF2B92">
              <w:t>2219</w:t>
            </w:r>
          </w:p>
        </w:tc>
        <w:tc>
          <w:tcPr>
            <w:tcW w:w="2090" w:type="dxa"/>
            <w:tcBorders>
              <w:top w:val="nil"/>
              <w:bottom w:val="single" w:sz="4" w:space="0" w:color="auto"/>
            </w:tcBorders>
            <w:shd w:val="clear" w:color="auto" w:fill="DDD9C3"/>
            <w:noWrap/>
            <w:vAlign w:val="bottom"/>
          </w:tcPr>
          <w:p w:rsidR="00DF2B92" w:rsidRPr="00DF2B92" w:rsidRDefault="00DF2B92" w:rsidP="00DF2B92">
            <w:pPr>
              <w:pStyle w:val="AERtabletext-numbers"/>
              <w:jc w:val="center"/>
            </w:pPr>
            <w:r w:rsidRPr="00DF2B92">
              <w:t>2250</w:t>
            </w:r>
          </w:p>
        </w:tc>
        <w:tc>
          <w:tcPr>
            <w:tcW w:w="2090" w:type="dxa"/>
            <w:tcBorders>
              <w:top w:val="nil"/>
              <w:bottom w:val="single" w:sz="4" w:space="0" w:color="auto"/>
            </w:tcBorders>
            <w:shd w:val="clear" w:color="auto" w:fill="DDD9C3"/>
            <w:noWrap/>
            <w:vAlign w:val="bottom"/>
          </w:tcPr>
          <w:p w:rsidR="00DF2B92" w:rsidRPr="00DF2B92" w:rsidRDefault="00DF2B92" w:rsidP="00DF2B92">
            <w:pPr>
              <w:pStyle w:val="AERtabletext-numbers"/>
              <w:jc w:val="center"/>
            </w:pPr>
            <w:r w:rsidRPr="00DF2B92">
              <w:t>2019</w:t>
            </w:r>
          </w:p>
        </w:tc>
      </w:tr>
    </w:tbl>
    <w:p w:rsidR="00DF2B92" w:rsidRDefault="00DF2B92" w:rsidP="00DF2B92">
      <w:pPr>
        <w:pStyle w:val="AERbodytext"/>
        <w:rPr>
          <w:lang w:eastAsia="en-AU"/>
        </w:rPr>
      </w:pPr>
      <w:r>
        <w:rPr>
          <w:lang w:eastAsia="en-AU"/>
        </w:rPr>
        <w:br/>
        <w:t xml:space="preserve">Demand and available capacity were close to forecast. </w:t>
      </w:r>
    </w:p>
    <w:p w:rsidR="002C1392" w:rsidRDefault="002C1392" w:rsidP="00DF2B92">
      <w:pPr>
        <w:pStyle w:val="AERbodytext"/>
        <w:rPr>
          <w:lang w:eastAsia="en-AU"/>
        </w:rPr>
      </w:pPr>
      <w:r>
        <w:rPr>
          <w:lang w:eastAsia="en-AU"/>
        </w:rPr>
        <w:t>At around 6.5</w:t>
      </w:r>
      <w:r w:rsidR="005C0153">
        <w:rPr>
          <w:lang w:eastAsia="en-AU"/>
        </w:rPr>
        <w:t>0</w:t>
      </w:r>
      <w:r>
        <w:rPr>
          <w:lang w:eastAsia="en-AU"/>
        </w:rPr>
        <w:t> am ramping constraints were invoked</w:t>
      </w:r>
      <w:r w:rsidR="00B41B26">
        <w:rPr>
          <w:lang w:eastAsia="en-AU"/>
        </w:rPr>
        <w:t xml:space="preserve"> in preparation for a planned outage of the Heywood to </w:t>
      </w:r>
      <w:proofErr w:type="spellStart"/>
      <w:r w:rsidR="00B41B26">
        <w:rPr>
          <w:lang w:eastAsia="en-AU"/>
        </w:rPr>
        <w:t>Tarrone</w:t>
      </w:r>
      <w:proofErr w:type="spellEnd"/>
      <w:r w:rsidR="00B41B26">
        <w:rPr>
          <w:lang w:eastAsia="en-AU"/>
        </w:rPr>
        <w:t xml:space="preserve"> to </w:t>
      </w:r>
      <w:proofErr w:type="spellStart"/>
      <w:r w:rsidR="00B41B26">
        <w:rPr>
          <w:lang w:eastAsia="en-AU"/>
        </w:rPr>
        <w:t>Moorabool</w:t>
      </w:r>
      <w:proofErr w:type="spellEnd"/>
      <w:r w:rsidR="00B41B26">
        <w:rPr>
          <w:lang w:eastAsia="en-AU"/>
        </w:rPr>
        <w:t xml:space="preserve"> No.1 500kV line in Victoria.</w:t>
      </w:r>
      <w:r w:rsidR="005C0153">
        <w:rPr>
          <w:lang w:eastAsia="en-AU"/>
        </w:rPr>
        <w:t xml:space="preserve"> This saw flows </w:t>
      </w:r>
      <w:r w:rsidR="00DD1808">
        <w:rPr>
          <w:lang w:eastAsia="en-AU"/>
        </w:rPr>
        <w:t xml:space="preserve">across the Heywood interconnector </w:t>
      </w:r>
      <w:r w:rsidR="005C0153">
        <w:rPr>
          <w:lang w:eastAsia="en-AU"/>
        </w:rPr>
        <w:t>change from 22 MW into South Australia at 6.55 am to 177 MW forced into Victoria (counter-price) at 7.05 am.</w:t>
      </w:r>
    </w:p>
    <w:p w:rsidR="002650F4" w:rsidRDefault="002D6530" w:rsidP="00DF2B92">
      <w:pPr>
        <w:pStyle w:val="AERbodytext"/>
        <w:rPr>
          <w:lang w:eastAsia="en-AU"/>
        </w:rPr>
      </w:pPr>
      <w:r>
        <w:rPr>
          <w:lang w:eastAsia="en-AU"/>
        </w:rPr>
        <w:t>At 6.55 am, effective from 7.05 am, Origin Energy rebid 45 MW of capacity at Quarantine unit 5 from prices around $300/MWh to the price cap. The reason given was “</w:t>
      </w:r>
      <w:r w:rsidRPr="002D6530">
        <w:rPr>
          <w:lang w:eastAsia="en-AU"/>
        </w:rPr>
        <w:t xml:space="preserve">0650A </w:t>
      </w:r>
      <w:r>
        <w:rPr>
          <w:lang w:eastAsia="en-AU"/>
        </w:rPr>
        <w:t xml:space="preserve">constraint </w:t>
      </w:r>
      <w:proofErr w:type="spellStart"/>
      <w:r>
        <w:rPr>
          <w:lang w:eastAsia="en-AU"/>
        </w:rPr>
        <w:t>mgmt</w:t>
      </w:r>
      <w:proofErr w:type="spellEnd"/>
      <w:r w:rsidRPr="002D6530">
        <w:rPr>
          <w:lang w:eastAsia="en-AU"/>
        </w:rPr>
        <w:t xml:space="preserve"> - V-SA_RAMP_I_F SL”</w:t>
      </w:r>
      <w:r>
        <w:rPr>
          <w:lang w:eastAsia="en-AU"/>
        </w:rPr>
        <w:t>.</w:t>
      </w:r>
    </w:p>
    <w:p w:rsidR="00DF2B92" w:rsidRDefault="00B41546" w:rsidP="00DF2B92">
      <w:pPr>
        <w:pStyle w:val="AERbodytext"/>
        <w:rPr>
          <w:lang w:eastAsia="en-AU"/>
        </w:rPr>
      </w:pPr>
      <w:r>
        <w:rPr>
          <w:lang w:eastAsia="en-AU"/>
        </w:rPr>
        <w:t xml:space="preserve">At 7.05 am there was also around a 100 MW reduction in wind generation (36 MW of which was from non-scheduled wind farms which reflects as an increase in demand). </w:t>
      </w:r>
      <w:r w:rsidR="005C0153">
        <w:rPr>
          <w:lang w:eastAsia="en-AU"/>
        </w:rPr>
        <w:t>With fast start plant unable to synchronise within 5 minutes, the Torrens Island units ramp rate limited and no capacity priced between around $300/MWh and $11 00</w:t>
      </w:r>
      <w:r w:rsidR="00315DA3">
        <w:rPr>
          <w:lang w:eastAsia="en-AU"/>
        </w:rPr>
        <w:t>0</w:t>
      </w:r>
      <w:r w:rsidR="005C0153">
        <w:rPr>
          <w:lang w:eastAsia="en-AU"/>
        </w:rPr>
        <w:t>/MWh</w:t>
      </w:r>
      <w:r w:rsidR="006E01B0">
        <w:rPr>
          <w:lang w:eastAsia="en-AU"/>
        </w:rPr>
        <w:t>,</w:t>
      </w:r>
      <w:r w:rsidR="005C0153">
        <w:rPr>
          <w:lang w:eastAsia="en-AU"/>
        </w:rPr>
        <w:t xml:space="preserve"> high-price generation had to be dispatched. This saw the earlier rebid of Quarantine unit 5 setting the</w:t>
      </w:r>
      <w:r w:rsidR="002650F4">
        <w:rPr>
          <w:lang w:eastAsia="en-AU"/>
        </w:rPr>
        <w:t xml:space="preserve"> 5 minute price </w:t>
      </w:r>
      <w:r w:rsidR="005C0153">
        <w:rPr>
          <w:lang w:eastAsia="en-AU"/>
        </w:rPr>
        <w:t>at</w:t>
      </w:r>
      <w:r w:rsidR="002650F4">
        <w:rPr>
          <w:lang w:eastAsia="en-AU"/>
        </w:rPr>
        <w:t xml:space="preserve"> the price cap at 7.05 am</w:t>
      </w:r>
      <w:r w:rsidR="005C0153">
        <w:rPr>
          <w:lang w:eastAsia="en-AU"/>
        </w:rPr>
        <w:t>.</w:t>
      </w:r>
    </w:p>
    <w:p w:rsidR="00BE04FF" w:rsidRDefault="00BE04FF" w:rsidP="00DF2B92">
      <w:pPr>
        <w:pStyle w:val="AERbodytext"/>
        <w:rPr>
          <w:lang w:eastAsia="en-AU"/>
        </w:rPr>
      </w:pPr>
      <w:r>
        <w:rPr>
          <w:lang w:eastAsia="en-AU"/>
        </w:rPr>
        <w:t>At 7.10 am prices returned to previous levels as demand reduced, generation was rebid from high prices to low prices and more capacity was available through ramp rates.</w:t>
      </w:r>
    </w:p>
    <w:p w:rsidR="00DF2B92" w:rsidRDefault="00DF2B92" w:rsidP="00DF2B92">
      <w:pPr>
        <w:pStyle w:val="AERbodytext"/>
        <w:rPr>
          <w:lang w:eastAsia="en-AU"/>
        </w:rPr>
      </w:pPr>
      <w:r>
        <w:rPr>
          <w:lang w:eastAsia="en-AU"/>
        </w:rPr>
        <w:t xml:space="preserve">There was no other significant rebidding. </w:t>
      </w:r>
    </w:p>
    <w:p w:rsidR="00E12907" w:rsidRDefault="00E12907" w:rsidP="00942195">
      <w:pPr>
        <w:pStyle w:val="AERbodytext"/>
        <w:rPr>
          <w:b/>
          <w:lang w:eastAsia="en-AU"/>
        </w:rPr>
      </w:pPr>
    </w:p>
    <w:p w:rsidR="00E12907" w:rsidRDefault="00E12907" w:rsidP="00942195">
      <w:pPr>
        <w:pStyle w:val="AERbodytext"/>
        <w:rPr>
          <w:b/>
          <w:lang w:eastAsia="en-AU"/>
        </w:rPr>
      </w:pPr>
    </w:p>
    <w:p w:rsidR="00DF2B92" w:rsidRPr="00E12907" w:rsidRDefault="00CD1060" w:rsidP="00942195">
      <w:pPr>
        <w:pStyle w:val="AERbodytext"/>
        <w:rPr>
          <w:b/>
          <w:lang w:eastAsia="en-AU"/>
        </w:rPr>
      </w:pPr>
      <w:r w:rsidRPr="00E12907">
        <w:rPr>
          <w:b/>
          <w:lang w:eastAsia="en-AU"/>
        </w:rPr>
        <w:t>Wednesday 11 September</w:t>
      </w:r>
    </w:p>
    <w:p w:rsidR="00DF2B92" w:rsidRPr="00470218" w:rsidRDefault="00DF2B92" w:rsidP="00DF2B92">
      <w:pPr>
        <w:pStyle w:val="AERtabletitle"/>
      </w:pPr>
      <w:r w:rsidRPr="00470218">
        <w:t xml:space="preserve">Table </w:t>
      </w:r>
      <w:r>
        <w:t>5</w:t>
      </w:r>
      <w:r w:rsidRPr="00470218">
        <w:t xml:space="preserve">: </w:t>
      </w:r>
      <w:r>
        <w:t>South Australia</w:t>
      </w:r>
      <w:r w:rsidRPr="00470218">
        <w:t xml:space="preserve">, </w:t>
      </w:r>
      <w:r>
        <w:t>Wednesday</w:t>
      </w:r>
      <w:r w:rsidRPr="00470218">
        <w:t> </w:t>
      </w:r>
      <w:r>
        <w:t>11 September</w:t>
      </w:r>
      <w:r>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DF2B92" w:rsidRPr="00095C39" w:rsidTr="00DF2B92">
        <w:tc>
          <w:tcPr>
            <w:tcW w:w="2802" w:type="dxa"/>
            <w:shd w:val="clear" w:color="auto" w:fill="4A442A"/>
            <w:noWrap/>
            <w:vAlign w:val="bottom"/>
          </w:tcPr>
          <w:p w:rsidR="00DF2B92" w:rsidRPr="00186747" w:rsidRDefault="00570313" w:rsidP="00DF2B92">
            <w:pPr>
              <w:autoSpaceDE w:val="0"/>
              <w:autoSpaceDN w:val="0"/>
              <w:adjustRightInd w:val="0"/>
              <w:spacing w:before="100" w:after="100"/>
              <w:rPr>
                <w:color w:val="FFFFFF"/>
                <w:sz w:val="18"/>
                <w:szCs w:val="18"/>
              </w:rPr>
            </w:pPr>
            <w:r>
              <w:rPr>
                <w:b/>
                <w:bCs/>
                <w:color w:val="FFFFFF"/>
                <w:sz w:val="18"/>
                <w:szCs w:val="18"/>
              </w:rPr>
              <w:t>8</w:t>
            </w:r>
            <w:r w:rsidR="00DF2B92" w:rsidRPr="00186747">
              <w:rPr>
                <w:b/>
                <w:bCs/>
                <w:color w:val="FFFFFF"/>
                <w:sz w:val="18"/>
                <w:szCs w:val="18"/>
              </w:rPr>
              <w:t xml:space="preserve"> </w:t>
            </w:r>
            <w:r w:rsidR="00DF2B92">
              <w:rPr>
                <w:b/>
                <w:bCs/>
                <w:color w:val="FFFFFF"/>
                <w:sz w:val="18"/>
                <w:szCs w:val="18"/>
              </w:rPr>
              <w:t>P</w:t>
            </w:r>
            <w:r w:rsidR="00DF2B92" w:rsidRPr="00186747">
              <w:rPr>
                <w:b/>
                <w:bCs/>
                <w:color w:val="FFFFFF"/>
                <w:sz w:val="18"/>
                <w:szCs w:val="18"/>
              </w:rPr>
              <w:t>M</w:t>
            </w:r>
          </w:p>
        </w:tc>
        <w:tc>
          <w:tcPr>
            <w:tcW w:w="2090" w:type="dxa"/>
            <w:shd w:val="clear" w:color="auto" w:fill="4A442A"/>
            <w:noWrap/>
            <w:vAlign w:val="bottom"/>
          </w:tcPr>
          <w:p w:rsidR="00DF2B92" w:rsidRPr="00186747" w:rsidRDefault="00DF2B92" w:rsidP="00DF2B92">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DF2B92" w:rsidRPr="00186747" w:rsidRDefault="00DF2B92" w:rsidP="00DF2B92">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DF2B92" w:rsidRPr="00186747" w:rsidRDefault="00DF2B92" w:rsidP="00DF2B92">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DF2B92" w:rsidRPr="00095C39" w:rsidTr="00DF2B92">
        <w:tc>
          <w:tcPr>
            <w:tcW w:w="2802" w:type="dxa"/>
            <w:shd w:val="clear" w:color="auto" w:fill="DDD9C3"/>
            <w:noWrap/>
            <w:vAlign w:val="bottom"/>
          </w:tcPr>
          <w:p w:rsidR="00DF2B92" w:rsidRPr="00DF2B92" w:rsidRDefault="00DF2B92" w:rsidP="00DF2B92">
            <w:pPr>
              <w:pStyle w:val="AERtabletext-numbers"/>
              <w:jc w:val="left"/>
              <w:rPr>
                <w:b/>
              </w:rPr>
            </w:pPr>
            <w:r w:rsidRPr="00DF2B92">
              <w:rPr>
                <w:b/>
              </w:rPr>
              <w:t>Price ($/MWh)</w:t>
            </w:r>
          </w:p>
        </w:tc>
        <w:tc>
          <w:tcPr>
            <w:tcW w:w="2090" w:type="dxa"/>
            <w:shd w:val="clear" w:color="auto" w:fill="DDD9C3"/>
            <w:noWrap/>
            <w:vAlign w:val="bottom"/>
          </w:tcPr>
          <w:p w:rsidR="00DF2B92" w:rsidRPr="00DF2B92" w:rsidRDefault="00DF2B92" w:rsidP="00DF2B92">
            <w:pPr>
              <w:pStyle w:val="AERtabletext-numbers"/>
              <w:jc w:val="center"/>
            </w:pPr>
            <w:r w:rsidRPr="00DF2B92">
              <w:t>524.26</w:t>
            </w:r>
          </w:p>
        </w:tc>
        <w:tc>
          <w:tcPr>
            <w:tcW w:w="2090" w:type="dxa"/>
            <w:shd w:val="clear" w:color="auto" w:fill="DDD9C3"/>
            <w:noWrap/>
            <w:vAlign w:val="bottom"/>
          </w:tcPr>
          <w:p w:rsidR="00DF2B92" w:rsidRPr="00DF2B92" w:rsidRDefault="00DF2B92" w:rsidP="00DF2B92">
            <w:pPr>
              <w:pStyle w:val="AERtabletext-numbers"/>
              <w:jc w:val="center"/>
            </w:pPr>
            <w:r w:rsidRPr="00DF2B92">
              <w:t>80.80</w:t>
            </w:r>
          </w:p>
        </w:tc>
        <w:tc>
          <w:tcPr>
            <w:tcW w:w="2090" w:type="dxa"/>
            <w:shd w:val="clear" w:color="auto" w:fill="DDD9C3"/>
            <w:noWrap/>
            <w:vAlign w:val="bottom"/>
          </w:tcPr>
          <w:p w:rsidR="00DF2B92" w:rsidRPr="00DF2B92" w:rsidRDefault="00DF2B92" w:rsidP="00DF2B92">
            <w:pPr>
              <w:pStyle w:val="AERtabletext-numbers"/>
              <w:jc w:val="center"/>
            </w:pPr>
            <w:r w:rsidRPr="00DF2B92">
              <w:t>81.34</w:t>
            </w:r>
          </w:p>
        </w:tc>
      </w:tr>
      <w:tr w:rsidR="00DF2B92" w:rsidRPr="00095C39" w:rsidTr="00DF2B92">
        <w:tc>
          <w:tcPr>
            <w:tcW w:w="2802" w:type="dxa"/>
            <w:tcBorders>
              <w:bottom w:val="nil"/>
            </w:tcBorders>
            <w:shd w:val="clear" w:color="auto" w:fill="EEECE1"/>
            <w:noWrap/>
            <w:vAlign w:val="bottom"/>
          </w:tcPr>
          <w:p w:rsidR="00DF2B92" w:rsidRPr="00DF2B92" w:rsidRDefault="00DF2B92" w:rsidP="00DF2B92">
            <w:pPr>
              <w:pStyle w:val="AERtabletext-numbers"/>
              <w:jc w:val="left"/>
              <w:rPr>
                <w:b/>
              </w:rPr>
            </w:pPr>
            <w:r w:rsidRPr="00DF2B92">
              <w:rPr>
                <w:b/>
              </w:rPr>
              <w:t>Demand (MW)</w:t>
            </w:r>
          </w:p>
        </w:tc>
        <w:tc>
          <w:tcPr>
            <w:tcW w:w="2090" w:type="dxa"/>
            <w:tcBorders>
              <w:bottom w:val="nil"/>
            </w:tcBorders>
            <w:shd w:val="clear" w:color="auto" w:fill="EEECE1"/>
            <w:noWrap/>
            <w:vAlign w:val="bottom"/>
          </w:tcPr>
          <w:p w:rsidR="00DF2B92" w:rsidRPr="00DF2B92" w:rsidRDefault="00DF2B92" w:rsidP="00DF2B92">
            <w:pPr>
              <w:pStyle w:val="AERtabletext-numbers"/>
              <w:jc w:val="center"/>
            </w:pPr>
            <w:r w:rsidRPr="00DF2B92">
              <w:t>1588</w:t>
            </w:r>
          </w:p>
        </w:tc>
        <w:tc>
          <w:tcPr>
            <w:tcW w:w="2090" w:type="dxa"/>
            <w:tcBorders>
              <w:bottom w:val="nil"/>
            </w:tcBorders>
            <w:shd w:val="clear" w:color="auto" w:fill="EEECE1"/>
            <w:noWrap/>
            <w:vAlign w:val="bottom"/>
          </w:tcPr>
          <w:p w:rsidR="00DF2B92" w:rsidRPr="00DF2B92" w:rsidRDefault="00DF2B92" w:rsidP="00DF2B92">
            <w:pPr>
              <w:pStyle w:val="AERtabletext-numbers"/>
              <w:jc w:val="center"/>
            </w:pPr>
            <w:r w:rsidRPr="00DF2B92">
              <w:t>1762</w:t>
            </w:r>
          </w:p>
        </w:tc>
        <w:tc>
          <w:tcPr>
            <w:tcW w:w="2090" w:type="dxa"/>
            <w:tcBorders>
              <w:bottom w:val="nil"/>
            </w:tcBorders>
            <w:shd w:val="clear" w:color="auto" w:fill="EEECE1"/>
            <w:noWrap/>
            <w:vAlign w:val="bottom"/>
          </w:tcPr>
          <w:p w:rsidR="00DF2B92" w:rsidRPr="00DF2B92" w:rsidRDefault="00DF2B92" w:rsidP="00DF2B92">
            <w:pPr>
              <w:pStyle w:val="AERtabletext-numbers"/>
              <w:jc w:val="center"/>
            </w:pPr>
            <w:r w:rsidRPr="00DF2B92">
              <w:t>1787</w:t>
            </w:r>
          </w:p>
        </w:tc>
      </w:tr>
      <w:tr w:rsidR="00DF2B92" w:rsidRPr="00095C39" w:rsidTr="00DF2B92">
        <w:tc>
          <w:tcPr>
            <w:tcW w:w="2802" w:type="dxa"/>
            <w:tcBorders>
              <w:top w:val="nil"/>
              <w:bottom w:val="single" w:sz="4" w:space="0" w:color="auto"/>
            </w:tcBorders>
            <w:shd w:val="clear" w:color="auto" w:fill="DDD9C3"/>
            <w:noWrap/>
            <w:vAlign w:val="bottom"/>
          </w:tcPr>
          <w:p w:rsidR="00DF2B92" w:rsidRPr="00DF2B92" w:rsidRDefault="00DF2B92" w:rsidP="00DF2B92">
            <w:pPr>
              <w:pStyle w:val="AERtabletext-numbers"/>
              <w:jc w:val="left"/>
              <w:rPr>
                <w:b/>
              </w:rPr>
            </w:pPr>
            <w:r w:rsidRPr="00DF2B92">
              <w:rPr>
                <w:b/>
              </w:rPr>
              <w:t>Available capacity (MW)</w:t>
            </w:r>
          </w:p>
        </w:tc>
        <w:tc>
          <w:tcPr>
            <w:tcW w:w="2090" w:type="dxa"/>
            <w:tcBorders>
              <w:top w:val="nil"/>
              <w:bottom w:val="single" w:sz="4" w:space="0" w:color="auto"/>
            </w:tcBorders>
            <w:shd w:val="clear" w:color="auto" w:fill="DDD9C3"/>
            <w:noWrap/>
            <w:vAlign w:val="bottom"/>
          </w:tcPr>
          <w:p w:rsidR="00DF2B92" w:rsidRPr="00DF2B92" w:rsidRDefault="00DF2B92" w:rsidP="00DF2B92">
            <w:pPr>
              <w:pStyle w:val="AERtabletext-numbers"/>
              <w:jc w:val="center"/>
            </w:pPr>
            <w:r w:rsidRPr="00DF2B92">
              <w:t>2029</w:t>
            </w:r>
          </w:p>
        </w:tc>
        <w:tc>
          <w:tcPr>
            <w:tcW w:w="2090" w:type="dxa"/>
            <w:tcBorders>
              <w:top w:val="nil"/>
              <w:bottom w:val="single" w:sz="4" w:space="0" w:color="auto"/>
            </w:tcBorders>
            <w:shd w:val="clear" w:color="auto" w:fill="DDD9C3"/>
            <w:noWrap/>
            <w:vAlign w:val="bottom"/>
          </w:tcPr>
          <w:p w:rsidR="00DF2B92" w:rsidRPr="00DF2B92" w:rsidRDefault="00DF2B92" w:rsidP="00DF2B92">
            <w:pPr>
              <w:pStyle w:val="AERtabletext-numbers"/>
              <w:jc w:val="center"/>
            </w:pPr>
            <w:r w:rsidRPr="00DF2B92">
              <w:t>2034</w:t>
            </w:r>
          </w:p>
        </w:tc>
        <w:tc>
          <w:tcPr>
            <w:tcW w:w="2090" w:type="dxa"/>
            <w:tcBorders>
              <w:top w:val="nil"/>
              <w:bottom w:val="single" w:sz="4" w:space="0" w:color="auto"/>
            </w:tcBorders>
            <w:shd w:val="clear" w:color="auto" w:fill="DDD9C3"/>
            <w:noWrap/>
            <w:vAlign w:val="bottom"/>
          </w:tcPr>
          <w:p w:rsidR="00DF2B92" w:rsidRPr="00DF2B92" w:rsidRDefault="00DF2B92" w:rsidP="00DF2B92">
            <w:pPr>
              <w:pStyle w:val="AERtabletext-numbers"/>
              <w:jc w:val="center"/>
            </w:pPr>
            <w:r w:rsidRPr="00DF2B92">
              <w:t>2043</w:t>
            </w:r>
          </w:p>
        </w:tc>
      </w:tr>
    </w:tbl>
    <w:p w:rsidR="00DF2B92" w:rsidRDefault="00DF2B92" w:rsidP="00DF2B92">
      <w:pPr>
        <w:pStyle w:val="AERbodytext"/>
        <w:rPr>
          <w:lang w:eastAsia="en-AU"/>
        </w:rPr>
      </w:pPr>
      <w:r>
        <w:rPr>
          <w:lang w:eastAsia="en-AU"/>
        </w:rPr>
        <w:br/>
        <w:t>Demand was 174 MW lower than that forecast 4 hours ahead and available capacity w</w:t>
      </w:r>
      <w:r w:rsidR="00570313">
        <w:rPr>
          <w:lang w:eastAsia="en-AU"/>
        </w:rPr>
        <w:t>as</w:t>
      </w:r>
      <w:r>
        <w:rPr>
          <w:lang w:eastAsia="en-AU"/>
        </w:rPr>
        <w:t xml:space="preserve"> close to forecast. </w:t>
      </w:r>
    </w:p>
    <w:p w:rsidR="008E74EE" w:rsidRDefault="008E74EE" w:rsidP="008E74EE">
      <w:pPr>
        <w:pStyle w:val="AERbodytext"/>
        <w:rPr>
          <w:lang w:eastAsia="en-AU"/>
        </w:rPr>
      </w:pPr>
      <w:r>
        <w:rPr>
          <w:lang w:eastAsia="en-AU"/>
        </w:rPr>
        <w:t xml:space="preserve">At around 7.30 pm ramping constraints were invoked in preparation for a planned outage of the Heywood to </w:t>
      </w:r>
      <w:proofErr w:type="spellStart"/>
      <w:r>
        <w:rPr>
          <w:lang w:eastAsia="en-AU"/>
        </w:rPr>
        <w:t>Tarrone</w:t>
      </w:r>
      <w:proofErr w:type="spellEnd"/>
      <w:r>
        <w:rPr>
          <w:lang w:eastAsia="en-AU"/>
        </w:rPr>
        <w:t xml:space="preserve"> to </w:t>
      </w:r>
      <w:proofErr w:type="spellStart"/>
      <w:r>
        <w:rPr>
          <w:lang w:eastAsia="en-AU"/>
        </w:rPr>
        <w:t>Moorabool</w:t>
      </w:r>
      <w:proofErr w:type="spellEnd"/>
      <w:r>
        <w:rPr>
          <w:lang w:eastAsia="en-AU"/>
        </w:rPr>
        <w:t xml:space="preserve"> No.1 500kV line in Victoria. This saw flows across the Heywood interconnector change from 444 MW into South Australia at 7.25</w:t>
      </w:r>
      <w:r w:rsidR="00A74B56">
        <w:rPr>
          <w:lang w:eastAsia="en-AU"/>
        </w:rPr>
        <w:t> pm</w:t>
      </w:r>
      <w:r>
        <w:rPr>
          <w:lang w:eastAsia="en-AU"/>
        </w:rPr>
        <w:t xml:space="preserve"> to 197 MW forced into Victoria (counter-price) at 7.</w:t>
      </w:r>
      <w:r w:rsidR="002F7CFE">
        <w:rPr>
          <w:lang w:eastAsia="en-AU"/>
        </w:rPr>
        <w:t>40</w:t>
      </w:r>
      <w:r>
        <w:rPr>
          <w:lang w:eastAsia="en-AU"/>
        </w:rPr>
        <w:t> </w:t>
      </w:r>
      <w:r w:rsidR="002F7CFE">
        <w:rPr>
          <w:lang w:eastAsia="en-AU"/>
        </w:rPr>
        <w:t>p</w:t>
      </w:r>
      <w:r>
        <w:rPr>
          <w:lang w:eastAsia="en-AU"/>
        </w:rPr>
        <w:t>m.</w:t>
      </w:r>
    </w:p>
    <w:p w:rsidR="00DF2B92" w:rsidRDefault="008E74EE" w:rsidP="00DF2B92">
      <w:pPr>
        <w:pStyle w:val="AERbodytext"/>
        <w:rPr>
          <w:lang w:eastAsia="en-AU"/>
        </w:rPr>
      </w:pPr>
      <w:r>
        <w:rPr>
          <w:lang w:eastAsia="en-AU"/>
        </w:rPr>
        <w:t>At 6.44 pm, effective from 7.35 pm, GDF Suez rebid 55 MW of capacity price</w:t>
      </w:r>
      <w:r w:rsidR="00A74B56">
        <w:rPr>
          <w:lang w:eastAsia="en-AU"/>
        </w:rPr>
        <w:t>d</w:t>
      </w:r>
      <w:r>
        <w:rPr>
          <w:lang w:eastAsia="en-AU"/>
        </w:rPr>
        <w:t xml:space="preserve"> around $70/MWh</w:t>
      </w:r>
      <w:r w:rsidR="00A74B56">
        <w:rPr>
          <w:lang w:eastAsia="en-AU"/>
        </w:rPr>
        <w:t xml:space="preserve"> at its Pelican Point power station</w:t>
      </w:r>
      <w:r>
        <w:rPr>
          <w:lang w:eastAsia="en-AU"/>
        </w:rPr>
        <w:t xml:space="preserve"> to the price cap. The reason given was “Constraint management</w:t>
      </w:r>
      <w:r w:rsidRPr="008E74EE">
        <w:rPr>
          <w:lang w:eastAsia="en-AU"/>
        </w:rPr>
        <w:t xml:space="preserve"> #R009183_024_RAMP_V@1930”.</w:t>
      </w:r>
    </w:p>
    <w:p w:rsidR="008E74EE" w:rsidRDefault="008E74EE" w:rsidP="00DF2B92">
      <w:pPr>
        <w:pStyle w:val="AERbodytext"/>
        <w:rPr>
          <w:lang w:eastAsia="en-AU"/>
        </w:rPr>
      </w:pPr>
      <w:r>
        <w:rPr>
          <w:lang w:eastAsia="en-AU"/>
        </w:rPr>
        <w:t xml:space="preserve">The ramping constraints violated for the 7.35 pm and 7.40 pm dispatch intervals </w:t>
      </w:r>
      <w:r w:rsidR="002F7CFE">
        <w:rPr>
          <w:lang w:eastAsia="en-AU"/>
        </w:rPr>
        <w:t>which saw</w:t>
      </w:r>
      <w:r>
        <w:rPr>
          <w:lang w:eastAsia="en-AU"/>
        </w:rPr>
        <w:t xml:space="preserve"> the 5</w:t>
      </w:r>
      <w:r w:rsidR="002F7CFE">
        <w:rPr>
          <w:lang w:eastAsia="en-AU"/>
        </w:rPr>
        <w:t> </w:t>
      </w:r>
      <w:r>
        <w:rPr>
          <w:lang w:eastAsia="en-AU"/>
        </w:rPr>
        <w:t>minute price reach $797/MWh and $788/MWh, respectively</w:t>
      </w:r>
      <w:r w:rsidR="002F7CFE">
        <w:rPr>
          <w:lang w:eastAsia="en-AU"/>
        </w:rPr>
        <w:t xml:space="preserve">. 5 minute prices remained </w:t>
      </w:r>
      <w:r w:rsidR="00BB3B24">
        <w:rPr>
          <w:lang w:eastAsia="en-AU"/>
        </w:rPr>
        <w:t>between</w:t>
      </w:r>
      <w:r w:rsidR="002F7CFE">
        <w:rPr>
          <w:lang w:eastAsia="en-AU"/>
        </w:rPr>
        <w:t xml:space="preserve"> $300/MWh </w:t>
      </w:r>
      <w:r w:rsidR="00BB3B24">
        <w:rPr>
          <w:lang w:eastAsia="en-AU"/>
        </w:rPr>
        <w:t xml:space="preserve">and $425/MWh </w:t>
      </w:r>
      <w:r w:rsidR="002F7CFE">
        <w:rPr>
          <w:lang w:eastAsia="en-AU"/>
        </w:rPr>
        <w:t>for the remainder of the 8 pm trading interval.</w:t>
      </w:r>
    </w:p>
    <w:p w:rsidR="00DF2B92" w:rsidRDefault="00DF2B92" w:rsidP="00DF2B92">
      <w:pPr>
        <w:pStyle w:val="AERbodytext"/>
        <w:rPr>
          <w:lang w:eastAsia="en-AU"/>
        </w:rPr>
      </w:pPr>
      <w:r>
        <w:rPr>
          <w:lang w:eastAsia="en-AU"/>
        </w:rPr>
        <w:t xml:space="preserve">There was no other significant rebidding. </w:t>
      </w:r>
    </w:p>
    <w:p w:rsidR="00E96C5A" w:rsidRDefault="00E12907" w:rsidP="00E96C5A">
      <w:pPr>
        <w:pStyle w:val="Heading2"/>
      </w:pPr>
      <w:r>
        <w:br w:type="page"/>
      </w:r>
      <w:r w:rsidR="00E96C5A">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Default="00E96C5A" w:rsidP="00E96C5A">
      <w:pPr>
        <w:pStyle w:val="Figureheading"/>
        <w:numPr>
          <w:ilvl w:val="0"/>
          <w:numId w:val="0"/>
        </w:numPr>
        <w:ind w:left="357" w:hanging="357"/>
      </w:pPr>
      <w:r w:rsidRPr="0030575B">
        <w:t>Figure 8: Quarterly base future prices Q3 2013 – Q2 2017</w:t>
      </w:r>
    </w:p>
    <w:p w:rsidR="00942195" w:rsidRDefault="00C33CB2" w:rsidP="00942195">
      <w:pPr>
        <w:pStyle w:val="AERbodytext"/>
        <w:keepNext/>
      </w:pPr>
      <w:r>
        <w:pict>
          <v:shape id="_x0000_i1034" type="#_x0000_t75" alt="Figure 8 shows for all mainland regions the prices for base contracts (and total traded quantities for the week) for each quarter for the next four financial years." style="width:451.4pt;height:225.4pt">
            <v:imagedata r:id="rId19" o:title=""/>
          </v:shape>
        </w:pict>
      </w:r>
    </w:p>
    <w:p w:rsidR="00E96C5A" w:rsidRPr="008245F0" w:rsidRDefault="00E96C5A" w:rsidP="00170E47">
      <w:pPr>
        <w:pStyle w:val="Sourceandnotes"/>
        <w:ind w:left="0" w:firstLine="0"/>
      </w:pPr>
      <w:r w:rsidRPr="008245F0">
        <w:t xml:space="preserve">Source: </w:t>
      </w:r>
      <w:hyperlink r:id="rId20" w:history="1">
        <w:r w:rsidRPr="00D87E09">
          <w:rPr>
            <w:rStyle w:val="Hyperlink"/>
          </w:rPr>
          <w:t>ASXEnergy.com.au</w:t>
        </w:r>
      </w:hyperlink>
    </w:p>
    <w:p w:rsidR="007354CE"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rsidR="007354CE">
        <w:t xml:space="preserve"> </w:t>
      </w:r>
    </w:p>
    <w:p w:rsidR="00E96C5A" w:rsidRDefault="00E96C5A" w:rsidP="00E96C5A">
      <w:pPr>
        <w:pStyle w:val="Figureheading"/>
        <w:numPr>
          <w:ilvl w:val="0"/>
          <w:numId w:val="0"/>
        </w:numPr>
        <w:ind w:left="357" w:hanging="357"/>
      </w:pPr>
      <w:r w:rsidRPr="003C700A">
        <w:t>Figure 9: Price of Q1 2014 base contracts over the past 10 weeks (and the past 2 years)</w:t>
      </w:r>
    </w:p>
    <w:p w:rsidR="00E96C5A" w:rsidRPr="00942195" w:rsidRDefault="00C33CB2" w:rsidP="00942195">
      <w:pPr>
        <w:pStyle w:val="AERbodytext"/>
      </w:pPr>
      <w:r>
        <w:pict>
          <v:shape id="_x0000_i1035"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8pt;height:225.4pt">
            <v:imagedata r:id="rId21"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266E6C">
      <w:pPr>
        <w:pStyle w:val="Sourceandnotes"/>
        <w:ind w:left="0" w:firstLine="0"/>
      </w:pPr>
      <w:r w:rsidRPr="005543BA">
        <w:t xml:space="preserve">Source: </w:t>
      </w:r>
      <w:hyperlink r:id="rId22"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3" w:history="1">
        <w:r w:rsidR="00E12907">
          <w:rPr>
            <w:rStyle w:val="Hyperlink"/>
          </w:rPr>
          <w:t xml:space="preserve">Industry Statistics </w:t>
        </w:r>
      </w:hyperlink>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t>Q</w:t>
      </w:r>
      <w:r w:rsidRPr="008245F0">
        <w:t xml:space="preserve">uarter 1 2013 prices are also shown. The cap </w:t>
      </w:r>
      <w:proofErr w:type="gramStart"/>
      <w:r w:rsidRPr="008245F0">
        <w:t>contracts limit exposure to extreme spot prices (above $300/MWh) and is</w:t>
      </w:r>
      <w:proofErr w:type="gramEnd"/>
      <w:r w:rsidRPr="008245F0">
        <w:t xml:space="preserve"> an indicator of the cost of risk management. </w:t>
      </w:r>
    </w:p>
    <w:p w:rsidR="00E96C5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C33CB2" w:rsidP="00942195">
      <w:pPr>
        <w:pStyle w:val="AERbodytext"/>
      </w:pPr>
      <w:r>
        <w:pict>
          <v:shape id="_x0000_i1036" type="#_x0000_t75" alt="Figure 10 shows how the price for each regional Quarter 1 2014 cap contract has changed over the last 10 weeks (as well as the total number of trades each week). The closing quarter 1 2012 and quarter 1 2013 prices are also shown. " style="width:451.4pt;height:225.4pt">
            <v:imagedata r:id="rId24" o:title=""/>
          </v:shape>
        </w:pict>
      </w:r>
    </w:p>
    <w:p w:rsidR="00E96C5A" w:rsidRPr="00130EA0" w:rsidRDefault="00E96C5A" w:rsidP="00170E47">
      <w:pPr>
        <w:pStyle w:val="Sourceandnotes"/>
        <w:spacing w:after="120"/>
      </w:pPr>
      <w:r w:rsidRPr="005543BA">
        <w:t>Source</w:t>
      </w:r>
      <w:r>
        <w:t xml:space="preserve">: </w:t>
      </w:r>
      <w:hyperlink r:id="rId25" w:history="1">
        <w:r w:rsidRPr="00D87E09">
          <w:rPr>
            <w:rStyle w:val="Hyperlink"/>
          </w:rPr>
          <w:t>ASXEnergy.com.au</w:t>
        </w:r>
      </w:hyperlink>
    </w:p>
    <w:p w:rsidR="00E96C5A" w:rsidRDefault="00E96C5A" w:rsidP="00E96C5A">
      <w:pPr>
        <w:pStyle w:val="AERbodytext"/>
        <w:keepNext/>
        <w:spacing w:after="120" w:line="240" w:lineRule="auto"/>
        <w:jc w:val="left"/>
        <w:rPr>
          <w:b/>
        </w:rPr>
      </w:pPr>
      <w:r w:rsidRPr="00181657">
        <w:rPr>
          <w:b/>
        </w:rPr>
        <w:t>Australian Energy Regulator</w:t>
      </w:r>
    </w:p>
    <w:p w:rsidR="00E96C5A" w:rsidRDefault="00765707" w:rsidP="003157C3">
      <w:r>
        <w:rPr>
          <w:b/>
        </w:rPr>
        <w:t xml:space="preserve">September </w:t>
      </w:r>
      <w:r w:rsidR="00E96C5A" w:rsidRPr="005F739F">
        <w:rPr>
          <w:b/>
        </w:rPr>
        <w:t>201</w:t>
      </w:r>
      <w:r w:rsidR="00E96C5A">
        <w:rPr>
          <w:b/>
        </w:rPr>
        <w:t>3</w:t>
      </w:r>
    </w:p>
    <w:sectPr w:rsidR="00E96C5A" w:rsidSect="00C71AAC">
      <w:footerReference w:type="default" r:id="rId26"/>
      <w:footerReference w:type="first" r:id="rId27"/>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07" w:rsidRDefault="00E12907" w:rsidP="00BB640B">
      <w:r>
        <w:separator/>
      </w:r>
    </w:p>
    <w:p w:rsidR="00E12907" w:rsidRDefault="00E12907"/>
    <w:p w:rsidR="00E12907" w:rsidRDefault="00E12907"/>
  </w:endnote>
  <w:endnote w:type="continuationSeparator" w:id="0">
    <w:p w:rsidR="00E12907" w:rsidRDefault="00E12907" w:rsidP="00BB640B">
      <w:r>
        <w:continuationSeparator/>
      </w:r>
    </w:p>
    <w:p w:rsidR="00E12907" w:rsidRDefault="00E12907"/>
    <w:p w:rsidR="00E12907" w:rsidRDefault="00E12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07" w:rsidRPr="00474107" w:rsidRDefault="00E12907"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B718C3">
      <w:rPr>
        <w:rStyle w:val="PageNumber"/>
        <w:noProof/>
      </w:rPr>
      <w:t>12</w:t>
    </w:r>
    <w:r>
      <w:rPr>
        <w:rStyle w:val="PageNumber"/>
      </w:rPr>
      <w:fldChar w:fldCharType="end"/>
    </w:r>
  </w:p>
  <w:p w:rsidR="00E12907" w:rsidRPr="0097256D" w:rsidRDefault="00E12907"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07" w:rsidRPr="00643F62" w:rsidRDefault="00E12907"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D13/130239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07" w:rsidRDefault="00E12907" w:rsidP="00BB640B">
      <w:r>
        <w:separator/>
      </w:r>
    </w:p>
    <w:p w:rsidR="00E12907" w:rsidRPr="00DB6729" w:rsidRDefault="00E12907">
      <w:pPr>
        <w:rPr>
          <w:b/>
          <w:sz w:val="2"/>
        </w:rPr>
      </w:pPr>
    </w:p>
  </w:footnote>
  <w:footnote w:type="continuationSeparator" w:id="0">
    <w:p w:rsidR="00E12907" w:rsidRDefault="00E12907" w:rsidP="00BB640B">
      <w:r>
        <w:continuationSeparator/>
      </w:r>
    </w:p>
    <w:p w:rsidR="00E12907" w:rsidRDefault="00E129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0E54CB6"/>
    <w:multiLevelType w:val="hybridMultilevel"/>
    <w:tmpl w:val="745A0D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2"/>
  </w:num>
  <w:num w:numId="8">
    <w:abstractNumId w:val="24"/>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3"/>
  </w:num>
  <w:num w:numId="16">
    <w:abstractNumId w:val="13"/>
  </w:num>
  <w:num w:numId="17">
    <w:abstractNumId w:val="21"/>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2"/>
  </w:num>
  <w:num w:numId="25">
    <w:abstractNumId w:val="22"/>
  </w:num>
  <w:num w:numId="26">
    <w:abstractNumId w:val="22"/>
  </w:num>
  <w:num w:numId="27">
    <w:abstractNumId w:val="22"/>
  </w:num>
  <w:num w:numId="28">
    <w:abstractNumId w:val="0"/>
  </w:num>
  <w:num w:numId="29">
    <w:abstractNumId w:val="15"/>
  </w:num>
  <w:num w:numId="30">
    <w:abstractNumId w:val="22"/>
  </w:num>
  <w:num w:numId="31">
    <w:abstractNumId w:val="22"/>
  </w:num>
  <w:num w:numId="32">
    <w:abstractNumId w:val="22"/>
  </w:num>
  <w:num w:numId="33">
    <w:abstractNumId w:val="22"/>
  </w:num>
  <w:num w:numId="34">
    <w:abstractNumId w:val="22"/>
  </w:num>
  <w:num w:numId="35">
    <w:abstractNumId w:val="10"/>
  </w:num>
  <w:num w:numId="36">
    <w:abstractNumId w:val="22"/>
  </w:num>
  <w:num w:numId="37">
    <w:abstractNumId w:val="10"/>
  </w:num>
  <w:num w:numId="38">
    <w:abstractNumId w:val="7"/>
  </w:num>
  <w:num w:numId="39">
    <w:abstractNumId w:val="22"/>
  </w:num>
  <w:num w:numId="40">
    <w:abstractNumId w:val="22"/>
  </w:num>
  <w:num w:numId="41">
    <w:abstractNumId w:val="20"/>
  </w:num>
  <w:num w:numId="42">
    <w:abstractNumId w:val="6"/>
  </w:num>
  <w:num w:numId="43">
    <w:abstractNumId w:val="22"/>
  </w:num>
  <w:num w:numId="44">
    <w:abstractNumId w:val="19"/>
  </w:num>
  <w:num w:numId="4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867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sjohn\20130908 - 20130914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D98"/>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027"/>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4BE"/>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6B"/>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4E5"/>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4030"/>
    <w:rsid w:val="001E44C3"/>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BC3"/>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2F7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0F4"/>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AFC"/>
    <w:rsid w:val="00295B5D"/>
    <w:rsid w:val="00295BF6"/>
    <w:rsid w:val="00295D28"/>
    <w:rsid w:val="00296221"/>
    <w:rsid w:val="00296DA3"/>
    <w:rsid w:val="00297526"/>
    <w:rsid w:val="00297A70"/>
    <w:rsid w:val="00297C2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3E3"/>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392"/>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699"/>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530"/>
    <w:rsid w:val="002D67EB"/>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5CC"/>
    <w:rsid w:val="002F787E"/>
    <w:rsid w:val="002F7CF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5DA3"/>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A35"/>
    <w:rsid w:val="00367D2A"/>
    <w:rsid w:val="00367E1D"/>
    <w:rsid w:val="00367E58"/>
    <w:rsid w:val="003704AF"/>
    <w:rsid w:val="0037068B"/>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456"/>
    <w:rsid w:val="003A2E14"/>
    <w:rsid w:val="003A309A"/>
    <w:rsid w:val="003A3778"/>
    <w:rsid w:val="003A407A"/>
    <w:rsid w:val="003A4158"/>
    <w:rsid w:val="003A424A"/>
    <w:rsid w:val="003A4B02"/>
    <w:rsid w:val="003A4FD7"/>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45"/>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1F12"/>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17A19"/>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614D"/>
    <w:rsid w:val="00436186"/>
    <w:rsid w:val="0043670D"/>
    <w:rsid w:val="004367F4"/>
    <w:rsid w:val="004368B6"/>
    <w:rsid w:val="00436946"/>
    <w:rsid w:val="00436983"/>
    <w:rsid w:val="00436CA9"/>
    <w:rsid w:val="00436D85"/>
    <w:rsid w:val="00436FFE"/>
    <w:rsid w:val="00437BD8"/>
    <w:rsid w:val="00437F80"/>
    <w:rsid w:val="00440625"/>
    <w:rsid w:val="00440E31"/>
    <w:rsid w:val="00441624"/>
    <w:rsid w:val="004416FC"/>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688"/>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886"/>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196"/>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653"/>
    <w:rsid w:val="00557693"/>
    <w:rsid w:val="00557D2F"/>
    <w:rsid w:val="00557FB9"/>
    <w:rsid w:val="0056027E"/>
    <w:rsid w:val="0056077C"/>
    <w:rsid w:val="00560A7E"/>
    <w:rsid w:val="00560C4D"/>
    <w:rsid w:val="005613DA"/>
    <w:rsid w:val="00561A34"/>
    <w:rsid w:val="00562689"/>
    <w:rsid w:val="00562865"/>
    <w:rsid w:val="005633F0"/>
    <w:rsid w:val="00563633"/>
    <w:rsid w:val="005638A0"/>
    <w:rsid w:val="005639BD"/>
    <w:rsid w:val="00563D2A"/>
    <w:rsid w:val="00564079"/>
    <w:rsid w:val="00564131"/>
    <w:rsid w:val="00564940"/>
    <w:rsid w:val="00564D91"/>
    <w:rsid w:val="00565874"/>
    <w:rsid w:val="00565F7C"/>
    <w:rsid w:val="00566305"/>
    <w:rsid w:val="005664FC"/>
    <w:rsid w:val="00566D9C"/>
    <w:rsid w:val="00566FE5"/>
    <w:rsid w:val="00567153"/>
    <w:rsid w:val="00567196"/>
    <w:rsid w:val="00567475"/>
    <w:rsid w:val="0056751E"/>
    <w:rsid w:val="00567579"/>
    <w:rsid w:val="00567A2C"/>
    <w:rsid w:val="00567C07"/>
    <w:rsid w:val="00567D71"/>
    <w:rsid w:val="00570313"/>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53"/>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735"/>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330"/>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5E3"/>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1FE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629E"/>
    <w:rsid w:val="006A68FD"/>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1B0"/>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69E"/>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842"/>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63A"/>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1C3"/>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F0009"/>
    <w:rsid w:val="007F02B6"/>
    <w:rsid w:val="007F0713"/>
    <w:rsid w:val="007F077B"/>
    <w:rsid w:val="007F0F13"/>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B94"/>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0F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C5F"/>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4EE"/>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1D5"/>
    <w:rsid w:val="0091421E"/>
    <w:rsid w:val="00914596"/>
    <w:rsid w:val="0091459B"/>
    <w:rsid w:val="009147FF"/>
    <w:rsid w:val="009148A8"/>
    <w:rsid w:val="0091498B"/>
    <w:rsid w:val="00915051"/>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D7B"/>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768"/>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2C3"/>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376"/>
    <w:rsid w:val="00A738B7"/>
    <w:rsid w:val="00A73B77"/>
    <w:rsid w:val="00A73C25"/>
    <w:rsid w:val="00A74056"/>
    <w:rsid w:val="00A74313"/>
    <w:rsid w:val="00A74928"/>
    <w:rsid w:val="00A7498E"/>
    <w:rsid w:val="00A74A18"/>
    <w:rsid w:val="00A74B56"/>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39D"/>
    <w:rsid w:val="00AB6685"/>
    <w:rsid w:val="00AB6722"/>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47"/>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2FA0"/>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592"/>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546"/>
    <w:rsid w:val="00B4162A"/>
    <w:rsid w:val="00B417A2"/>
    <w:rsid w:val="00B41B26"/>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8C3"/>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24"/>
    <w:rsid w:val="00BB3BBE"/>
    <w:rsid w:val="00BB4089"/>
    <w:rsid w:val="00BB4D6D"/>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58F"/>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4FF"/>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5FE1"/>
    <w:rsid w:val="00BF6447"/>
    <w:rsid w:val="00BF666C"/>
    <w:rsid w:val="00BF6A53"/>
    <w:rsid w:val="00BF6C16"/>
    <w:rsid w:val="00BF6C19"/>
    <w:rsid w:val="00BF6E6A"/>
    <w:rsid w:val="00BF6FB7"/>
    <w:rsid w:val="00BF7A41"/>
    <w:rsid w:val="00BF7EA0"/>
    <w:rsid w:val="00C00409"/>
    <w:rsid w:val="00C006AC"/>
    <w:rsid w:val="00C00BB7"/>
    <w:rsid w:val="00C00EF7"/>
    <w:rsid w:val="00C010F5"/>
    <w:rsid w:val="00C0148D"/>
    <w:rsid w:val="00C01989"/>
    <w:rsid w:val="00C01A2D"/>
    <w:rsid w:val="00C01B3B"/>
    <w:rsid w:val="00C01BB9"/>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CB2"/>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5D54"/>
    <w:rsid w:val="00C66161"/>
    <w:rsid w:val="00C66431"/>
    <w:rsid w:val="00C666DA"/>
    <w:rsid w:val="00C669A1"/>
    <w:rsid w:val="00C675E0"/>
    <w:rsid w:val="00C676C0"/>
    <w:rsid w:val="00C6775E"/>
    <w:rsid w:val="00C677F8"/>
    <w:rsid w:val="00C67BAA"/>
    <w:rsid w:val="00C67D87"/>
    <w:rsid w:val="00C700FA"/>
    <w:rsid w:val="00C7046E"/>
    <w:rsid w:val="00C714A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06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8BA"/>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A67"/>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38D"/>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B49"/>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A93"/>
    <w:rsid w:val="00DD1089"/>
    <w:rsid w:val="00DD11CE"/>
    <w:rsid w:val="00DD13C4"/>
    <w:rsid w:val="00DD1808"/>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BDC"/>
    <w:rsid w:val="00DE5DE6"/>
    <w:rsid w:val="00DE6192"/>
    <w:rsid w:val="00DE7299"/>
    <w:rsid w:val="00DE7387"/>
    <w:rsid w:val="00DE7499"/>
    <w:rsid w:val="00DE7665"/>
    <w:rsid w:val="00DE767B"/>
    <w:rsid w:val="00DE76CF"/>
    <w:rsid w:val="00DE7A5D"/>
    <w:rsid w:val="00DF07AF"/>
    <w:rsid w:val="00DF087B"/>
    <w:rsid w:val="00DF0971"/>
    <w:rsid w:val="00DF0D3D"/>
    <w:rsid w:val="00DF142C"/>
    <w:rsid w:val="00DF1897"/>
    <w:rsid w:val="00DF1A48"/>
    <w:rsid w:val="00DF1D71"/>
    <w:rsid w:val="00DF1FE9"/>
    <w:rsid w:val="00DF20CB"/>
    <w:rsid w:val="00DF2166"/>
    <w:rsid w:val="00DF23DB"/>
    <w:rsid w:val="00DF258A"/>
    <w:rsid w:val="00DF2641"/>
    <w:rsid w:val="00DF2677"/>
    <w:rsid w:val="00DF2B92"/>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907"/>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C3"/>
    <w:rsid w:val="00E20CF2"/>
    <w:rsid w:val="00E20E4C"/>
    <w:rsid w:val="00E20ECC"/>
    <w:rsid w:val="00E20F12"/>
    <w:rsid w:val="00E20F68"/>
    <w:rsid w:val="00E20FA1"/>
    <w:rsid w:val="00E211CC"/>
    <w:rsid w:val="00E213A0"/>
    <w:rsid w:val="00E21573"/>
    <w:rsid w:val="00E21F67"/>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069"/>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2C"/>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4F4"/>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578"/>
    <w:rsid w:val="00E90701"/>
    <w:rsid w:val="00E9072C"/>
    <w:rsid w:val="00E90871"/>
    <w:rsid w:val="00E90ABF"/>
    <w:rsid w:val="00E90BFE"/>
    <w:rsid w:val="00E9129C"/>
    <w:rsid w:val="00E915D5"/>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4959"/>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577"/>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994"/>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A9A"/>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24"/>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760"/>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706"/>
    <w:rsid w:val="00F6584D"/>
    <w:rsid w:val="00F6595F"/>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630"/>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649"/>
    <w:rsid w:val="00FE07EE"/>
    <w:rsid w:val="00FE08C5"/>
    <w:rsid w:val="00FE0B4F"/>
    <w:rsid w:val="00FE0B79"/>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3E1"/>
    <w:rsid w:val="00FE74EA"/>
    <w:rsid w:val="00FE7B00"/>
    <w:rsid w:val="00FE7E2B"/>
    <w:rsid w:val="00FE7E3E"/>
    <w:rsid w:val="00FF0240"/>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DF2B92"/>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6FCF-CE90-4473-927C-931CDA26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2013-11-05T03:21:00Z</dcterms:created>
  <dcterms:modified xsi:type="dcterms:W3CDTF">2013-11-05T03:22:00Z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8058370</vt:lpwstr>
  </property>
</Properties>
</file>