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Default="00250C41" w:rsidP="00F964AF">
      <w:pPr>
        <w:pStyle w:val="AERHeading1new"/>
        <w:keepNext w:val="0"/>
        <w:keepLines w:val="0"/>
        <w:pageBreakBefore w:val="0"/>
        <w:widowControl w:val="0"/>
        <w:numPr>
          <w:ilvl w:val="0"/>
          <w:numId w:val="0"/>
        </w:numPr>
        <w:rPr>
          <w:color w:val="252525"/>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24.25pt;height:76pt;z-index:251658240" filled="f" stroked="f">
            <v:textbox style="mso-next-textbox:#_x0000_s1026">
              <w:txbxContent>
                <w:p w:rsidR="002B74C1" w:rsidRDefault="002B74C1">
                  <w:pPr>
                    <w:pStyle w:val="Title"/>
                    <w:jc w:val="left"/>
                  </w:pPr>
                  <w:r w:rsidRPr="00F50D3A">
                    <w:t>Electricity</w:t>
                  </w:r>
                  <w:r>
                    <w:t xml:space="preserve"> Report</w:t>
                  </w:r>
                </w:p>
                <w:p w:rsidR="002B74C1" w:rsidRDefault="002B74C1">
                  <w:pPr>
                    <w:pStyle w:val="Title"/>
                    <w:jc w:val="left"/>
                    <w:rPr>
                      <w:i/>
                    </w:rPr>
                  </w:pPr>
                  <w:r>
                    <w:t>25 to 31 August 2013</w:t>
                  </w:r>
                  <w:r w:rsidRPr="00F50D3A">
                    <w:t xml:space="preserve"> </w:t>
                  </w:r>
                </w:p>
                <w:p w:rsidR="002B74C1" w:rsidRDefault="002B74C1">
                  <w:pPr>
                    <w:rPr>
                      <w:i/>
                      <w:sz w:val="32"/>
                    </w:rPr>
                  </w:pPr>
                  <w:r w:rsidRPr="00F50D3A">
                    <w:rPr>
                      <w:sz w:val="32"/>
                    </w:rPr>
                    <w:t xml:space="preserve"> </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85pt;height:99.05pt">
            <v:imagedata r:id="rId8" o:title="AER_Head1a" cropbottom="3785f"/>
          </v:shape>
        </w:pict>
      </w:r>
      <w:r w:rsidR="0052471C" w:rsidRPr="0052471C">
        <w:rPr>
          <w:color w:val="252525"/>
          <w:sz w:val="22"/>
          <w:szCs w:val="22"/>
        </w:rPr>
        <w:t xml:space="preserve"> </w:t>
      </w:r>
    </w:p>
    <w:p w:rsidR="00E74564" w:rsidRDefault="00E74564" w:rsidP="00E74564">
      <w:pPr>
        <w:pStyle w:val="Heading2"/>
      </w:pPr>
      <w:r>
        <w:t>Introduction</w:t>
      </w:r>
    </w:p>
    <w:p w:rsidR="002F6FF5" w:rsidRDefault="002F6FF5" w:rsidP="0020746B">
      <w:pPr>
        <w:pStyle w:val="AERbodytext"/>
      </w:pPr>
      <w:r w:rsidRPr="002F6FF5">
        <w:t xml:space="preserve">The AER is required to publish the reasons for significant variations </w:t>
      </w:r>
      <w:r w:rsidR="005A5ACF">
        <w:t xml:space="preserve">between forecast and actual price </w:t>
      </w:r>
      <w:r w:rsidRPr="002F6FF5">
        <w:t>and is responsible for monitoring activity and behaviour in the N</w:t>
      </w:r>
      <w:r>
        <w:t xml:space="preserve">ational </w:t>
      </w:r>
      <w:r w:rsidRPr="002F6FF5">
        <w:t>E</w:t>
      </w:r>
      <w:r>
        <w:t xml:space="preserve">lectricity </w:t>
      </w:r>
      <w:r w:rsidRPr="002F6FF5">
        <w:t>M</w:t>
      </w:r>
      <w:r>
        <w:t>arket</w:t>
      </w:r>
      <w:r w:rsidRPr="002F6FF5">
        <w:t xml:space="preserve">. The </w:t>
      </w:r>
      <w:r>
        <w:t>E</w:t>
      </w:r>
      <w:r w:rsidRPr="002F6FF5">
        <w:t xml:space="preserve">lectricity </w:t>
      </w:r>
      <w:r>
        <w:t>Report</w:t>
      </w:r>
      <w:r w:rsidRPr="002F6FF5">
        <w:t xml:space="preserve"> form</w:t>
      </w:r>
      <w:r>
        <w:t>s</w:t>
      </w:r>
      <w:r w:rsidRPr="002F6FF5">
        <w:t xml:space="preserve"> an important part of this work. The</w:t>
      </w:r>
      <w:r>
        <w:t xml:space="preserve"> report</w:t>
      </w:r>
      <w:r w:rsidRPr="002F6FF5">
        <w:t xml:space="preserve"> contain</w:t>
      </w:r>
      <w:r>
        <w:t>s</w:t>
      </w:r>
      <w:r w:rsidRPr="002F6FF5">
        <w:t xml:space="preserve">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0E1281" w:rsidRDefault="00B02A59" w:rsidP="000E1281">
      <w:pPr>
        <w:pStyle w:val="Heading2"/>
      </w:pPr>
      <w:r>
        <w:t>Weekly s</w:t>
      </w:r>
      <w:r w:rsidR="000E1281">
        <w:t>potlight</w:t>
      </w:r>
    </w:p>
    <w:p w:rsidR="00A074DC" w:rsidRDefault="00A074DC" w:rsidP="0020746B">
      <w:pPr>
        <w:pStyle w:val="AERbodytext"/>
      </w:pPr>
      <w:r>
        <w:t xml:space="preserve">As discussed in the </w:t>
      </w:r>
      <w:r w:rsidRPr="0020746B">
        <w:rPr>
          <w:i/>
        </w:rPr>
        <w:t>Detailed market analysis of significant price events</w:t>
      </w:r>
      <w:r>
        <w:t xml:space="preserve"> section below, </w:t>
      </w:r>
      <w:r w:rsidR="00813404">
        <w:t>t</w:t>
      </w:r>
      <w:r w:rsidR="00D10045">
        <w:t xml:space="preserve">he spot price in Queensland reached </w:t>
      </w:r>
      <w:r>
        <w:t>$</w:t>
      </w:r>
      <w:r w:rsidR="00D10045" w:rsidRPr="0085539D">
        <w:t>2223</w:t>
      </w:r>
      <w:r>
        <w:t>/</w:t>
      </w:r>
      <w:proofErr w:type="spellStart"/>
      <w:r>
        <w:t>MWh</w:t>
      </w:r>
      <w:proofErr w:type="spellEnd"/>
      <w:r>
        <w:t xml:space="preserve"> at</w:t>
      </w:r>
      <w:r w:rsidR="00D10045">
        <w:t xml:space="preserve"> 7 am on Wednesday 28 August</w:t>
      </w:r>
      <w:r>
        <w:t xml:space="preserve">, as a result of a single </w:t>
      </w:r>
      <w:r w:rsidR="007934E0">
        <w:t>five</w:t>
      </w:r>
      <w:r>
        <w:t xml:space="preserve">-minute price </w:t>
      </w:r>
      <w:r w:rsidRPr="002343C1">
        <w:t xml:space="preserve">at </w:t>
      </w:r>
      <w:r w:rsidR="006A2F25" w:rsidRPr="0020746B">
        <w:t>6.40</w:t>
      </w:r>
      <w:r w:rsidRPr="002343C1">
        <w:t> am</w:t>
      </w:r>
      <w:r>
        <w:t xml:space="preserve"> at the market price cap (MPC, $13 100/</w:t>
      </w:r>
      <w:proofErr w:type="spellStart"/>
      <w:r>
        <w:t>MWh</w:t>
      </w:r>
      <w:proofErr w:type="spellEnd"/>
      <w:r>
        <w:t>).</w:t>
      </w:r>
      <w:r w:rsidR="00D10045">
        <w:t xml:space="preserve"> </w:t>
      </w:r>
      <w:r>
        <w:t>This is the fourth occasion recently where the spot price has reached around $2200/</w:t>
      </w:r>
      <w:proofErr w:type="spellStart"/>
      <w:r>
        <w:t>MWh</w:t>
      </w:r>
      <w:proofErr w:type="spellEnd"/>
      <w:r>
        <w:t xml:space="preserve"> in Queensland for the 7 am trading interval. The other occasions were </w:t>
      </w:r>
      <w:r w:rsidR="002343C1">
        <w:t xml:space="preserve">on </w:t>
      </w:r>
      <w:r>
        <w:t xml:space="preserve">18, 22 and 23 August. </w:t>
      </w:r>
      <w:r w:rsidR="00E82AE4">
        <w:t>T</w:t>
      </w:r>
      <w:r>
        <w:t xml:space="preserve">hese </w:t>
      </w:r>
      <w:r w:rsidR="00560644">
        <w:t xml:space="preserve">three other high </w:t>
      </w:r>
      <w:r>
        <w:t xml:space="preserve">prices </w:t>
      </w:r>
      <w:r w:rsidR="00E82AE4">
        <w:t>were</w:t>
      </w:r>
      <w:r>
        <w:t xml:space="preserve"> also driven by single </w:t>
      </w:r>
      <w:r w:rsidR="007934E0">
        <w:t>five</w:t>
      </w:r>
      <w:r>
        <w:t xml:space="preserve">-minute dispatch interval price spikes at the MPC during the </w:t>
      </w:r>
      <w:r w:rsidR="001A3C0E">
        <w:t xml:space="preserve">7 am </w:t>
      </w:r>
      <w:r>
        <w:t>trading interval</w:t>
      </w:r>
      <w:r w:rsidR="00A321FB">
        <w:t xml:space="preserve"> </w:t>
      </w:r>
      <w:r w:rsidR="00813404">
        <w:t>(</w:t>
      </w:r>
      <w:r w:rsidR="00A321FB">
        <w:t>and are discussed in previous weekly reports</w:t>
      </w:r>
      <w:r w:rsidR="00813404">
        <w:t>)</w:t>
      </w:r>
      <w:r>
        <w:t>.</w:t>
      </w:r>
      <w:r w:rsidR="003650B0">
        <w:t xml:space="preserve"> None of these prices were forecast.</w:t>
      </w:r>
    </w:p>
    <w:p w:rsidR="00AD4A24" w:rsidRPr="001A3C0E" w:rsidRDefault="00AD4A24" w:rsidP="0020746B">
      <w:pPr>
        <w:pStyle w:val="AERbodytext"/>
      </w:pPr>
      <w:r w:rsidRPr="001A3C0E">
        <w:t xml:space="preserve">Given the regularity of these events, </w:t>
      </w:r>
      <w:r w:rsidR="00753BA6" w:rsidRPr="001A3C0E">
        <w:t xml:space="preserve">the AER considers it </w:t>
      </w:r>
      <w:r w:rsidR="00A81BA2" w:rsidRPr="0020746B">
        <w:t>appropriate</w:t>
      </w:r>
      <w:r w:rsidR="00753BA6" w:rsidRPr="001A3C0E">
        <w:t xml:space="preserve"> to explore the events in more detail as part of this weekly spotlight</w:t>
      </w:r>
      <w:r w:rsidR="00E12A30">
        <w:t>.</w:t>
      </w:r>
      <w:r w:rsidR="00753BA6" w:rsidRPr="001A3C0E">
        <w:t xml:space="preserve"> </w:t>
      </w:r>
    </w:p>
    <w:p w:rsidR="002E7B65" w:rsidRDefault="00122B5D" w:rsidP="0020746B">
      <w:pPr>
        <w:pStyle w:val="AERbodytext"/>
      </w:pPr>
      <w:r w:rsidRPr="002343C1">
        <w:t>Analysis shows that t</w:t>
      </w:r>
      <w:r w:rsidR="002E7B65" w:rsidRPr="0020746B">
        <w:t xml:space="preserve">he high prices have been driven by relatively small increases in </w:t>
      </w:r>
      <w:r w:rsidR="002B07A6" w:rsidRPr="0020746B">
        <w:t>five</w:t>
      </w:r>
      <w:r w:rsidRPr="0020746B">
        <w:t>-</w:t>
      </w:r>
      <w:r w:rsidR="002E7B65" w:rsidRPr="0020746B">
        <w:t>minute demand which is unable to be met by low</w:t>
      </w:r>
      <w:r w:rsidR="002B07A6" w:rsidRPr="0020746B">
        <w:t>-</w:t>
      </w:r>
      <w:r w:rsidR="002E7B65" w:rsidRPr="0020746B">
        <w:t>price generation in Queensland or imports in the relevant five minutes, requiring the dispatch of generation priced at or close to the price cap.</w:t>
      </w:r>
      <w:r w:rsidRPr="0020746B">
        <w:t xml:space="preserve"> </w:t>
      </w:r>
      <w:r w:rsidR="002E7B65" w:rsidRPr="0020746B">
        <w:t>These spikes in dispatch price occurr</w:t>
      </w:r>
      <w:r w:rsidRPr="0020746B">
        <w:t>ed</w:t>
      </w:r>
      <w:r w:rsidR="002E7B65" w:rsidRPr="0020746B">
        <w:t xml:space="preserve"> at levels of demand of around 6000</w:t>
      </w:r>
      <w:r w:rsidRPr="0020746B">
        <w:t> </w:t>
      </w:r>
      <w:r w:rsidR="002E7B65" w:rsidRPr="0020746B">
        <w:t>MW</w:t>
      </w:r>
      <w:r w:rsidR="00A81BA2" w:rsidRPr="0020746B">
        <w:t xml:space="preserve">, which is </w:t>
      </w:r>
      <w:r w:rsidRPr="0020746B">
        <w:t xml:space="preserve">relatively low </w:t>
      </w:r>
      <w:r w:rsidR="00A81BA2" w:rsidRPr="0020746B">
        <w:t xml:space="preserve">when </w:t>
      </w:r>
      <w:r w:rsidR="002E7B65" w:rsidRPr="0020746B">
        <w:t xml:space="preserve">compared to peak demand for </w:t>
      </w:r>
      <w:r w:rsidR="00A81BA2" w:rsidRPr="0020746B">
        <w:t xml:space="preserve">the </w:t>
      </w:r>
      <w:r w:rsidR="002E7B65" w:rsidRPr="0020746B">
        <w:t xml:space="preserve">2012/13 summer of 8606 MW and installed capacity in </w:t>
      </w:r>
      <w:r w:rsidR="00A81BA2" w:rsidRPr="0020746B">
        <w:t>Queensland</w:t>
      </w:r>
      <w:r w:rsidR="002E7B65" w:rsidRPr="0020746B">
        <w:t xml:space="preserve"> around 1</w:t>
      </w:r>
      <w:r w:rsidR="00D336DC">
        <w:t>1</w:t>
      </w:r>
      <w:r w:rsidR="002E7B65" w:rsidRPr="00931C2D">
        <w:t> 000 MW</w:t>
      </w:r>
      <w:r w:rsidRPr="00931C2D">
        <w:t>.</w:t>
      </w:r>
      <w:r w:rsidR="006C5BF7">
        <w:rPr>
          <w:rStyle w:val="FootnoteReference"/>
        </w:rPr>
        <w:footnoteReference w:id="1"/>
      </w:r>
      <w:r>
        <w:t xml:space="preserve"> </w:t>
      </w:r>
    </w:p>
    <w:p w:rsidR="003602B6" w:rsidRDefault="00DA4CD3" w:rsidP="0020746B">
      <w:pPr>
        <w:pStyle w:val="AERbodytext"/>
      </w:pPr>
      <w:r>
        <w:t>Other contributing factors common to each event</w:t>
      </w:r>
      <w:r w:rsidR="003D6FB3">
        <w:t xml:space="preserve"> </w:t>
      </w:r>
      <w:r w:rsidR="007C6249">
        <w:t>are as follows</w:t>
      </w:r>
      <w:r w:rsidR="002343C1">
        <w:t>:</w:t>
      </w:r>
      <w:r w:rsidR="007C6249">
        <w:t xml:space="preserve"> </w:t>
      </w:r>
    </w:p>
    <w:p w:rsidR="002E7B65" w:rsidRDefault="002E7B65" w:rsidP="0020746B">
      <w:pPr>
        <w:pStyle w:val="Listbullet1"/>
      </w:pPr>
      <w:r>
        <w:t xml:space="preserve">A total of 800 MW of </w:t>
      </w:r>
      <w:r w:rsidR="009F63D2">
        <w:t>capacity</w:t>
      </w:r>
      <w:r>
        <w:t xml:space="preserve"> at Millmerran </w:t>
      </w:r>
      <w:r w:rsidR="006A21AF">
        <w:t xml:space="preserve">Power Station </w:t>
      </w:r>
      <w:r>
        <w:t xml:space="preserve">and </w:t>
      </w:r>
      <w:r w:rsidR="006A21AF">
        <w:t xml:space="preserve">CS Energy’s </w:t>
      </w:r>
      <w:r>
        <w:t xml:space="preserve">Callide </w:t>
      </w:r>
      <w:r w:rsidR="006A21AF">
        <w:t>Power Station</w:t>
      </w:r>
      <w:r>
        <w:t xml:space="preserve"> </w:t>
      </w:r>
      <w:proofErr w:type="gramStart"/>
      <w:r>
        <w:t>came</w:t>
      </w:r>
      <w:proofErr w:type="gramEnd"/>
      <w:r>
        <w:t xml:space="preserve"> offline </w:t>
      </w:r>
      <w:r w:rsidR="006A21AF">
        <w:t xml:space="preserve">in </w:t>
      </w:r>
      <w:r>
        <w:t>mid-August. A significant proportion of this capacity is usually offered at low prices when available.</w:t>
      </w:r>
    </w:p>
    <w:p w:rsidR="003602B6" w:rsidRDefault="003602B6" w:rsidP="0020746B">
      <w:pPr>
        <w:pStyle w:val="Listbullet1"/>
      </w:pPr>
      <w:r>
        <w:t xml:space="preserve">The </w:t>
      </w:r>
      <w:proofErr w:type="spellStart"/>
      <w:r>
        <w:t>Directlink</w:t>
      </w:r>
      <w:proofErr w:type="spellEnd"/>
      <w:r>
        <w:t xml:space="preserve"> interconnector has been out of service since </w:t>
      </w:r>
      <w:r w:rsidR="00931C2D">
        <w:t>6 August (expected to return on 30 September)</w:t>
      </w:r>
      <w:r>
        <w:t>.</w:t>
      </w:r>
    </w:p>
    <w:p w:rsidR="003602B6" w:rsidRDefault="003602B6" w:rsidP="0020746B">
      <w:pPr>
        <w:pStyle w:val="Listbullet1"/>
      </w:pPr>
      <w:r>
        <w:t xml:space="preserve">During the times of high prices the ability to import </w:t>
      </w:r>
      <w:r w:rsidR="002343C1">
        <w:t xml:space="preserve">energy into Queensland across the QNI interconnector </w:t>
      </w:r>
      <w:r>
        <w:t>has been limited to around 180 MW (compared to its nominal limit of 480 MW) by a network constraint. During the times of high prices</w:t>
      </w:r>
      <w:r w:rsidR="006C5BF7">
        <w:t>,</w:t>
      </w:r>
      <w:r>
        <w:t xml:space="preserve"> QNI has usually been importing into Queensland at close to its limit, meaning that Queensland generation has been dispatched to meet any increase in demand.</w:t>
      </w:r>
    </w:p>
    <w:p w:rsidR="002B74C1" w:rsidRDefault="002B74C1" w:rsidP="0020746B">
      <w:pPr>
        <w:pStyle w:val="Listbullet1"/>
      </w:pPr>
      <w:r>
        <w:lastRenderedPageBreak/>
        <w:t>Due to technical limitations (including plant being ramp rate limited, or trapped or stranded in frequency control ancillary services (FCAS)) available low-price generation has been unable to be dispatched to meet small increases in demand, resulting in the dispatch of high-price generation. This is explained further in the following example below (which is indicative only, and not based on a specific event).</w:t>
      </w:r>
    </w:p>
    <w:p w:rsidR="00560644" w:rsidRPr="0020746B" w:rsidRDefault="00560644" w:rsidP="001A65E3">
      <w:pPr>
        <w:pStyle w:val="Listbullet1"/>
        <w:numPr>
          <w:ilvl w:val="0"/>
          <w:numId w:val="0"/>
        </w:numPr>
        <w:rPr>
          <w:i/>
          <w:sz w:val="24"/>
        </w:rPr>
      </w:pPr>
      <w:r w:rsidRPr="0020746B">
        <w:rPr>
          <w:i/>
          <w:sz w:val="24"/>
          <w:szCs w:val="24"/>
        </w:rPr>
        <w:t>Example to illustrate causes of Queensland 7</w:t>
      </w:r>
      <w:r w:rsidR="00AD7C07">
        <w:rPr>
          <w:i/>
          <w:sz w:val="24"/>
          <w:szCs w:val="24"/>
        </w:rPr>
        <w:t> </w:t>
      </w:r>
      <w:r w:rsidRPr="0020746B">
        <w:rPr>
          <w:i/>
          <w:sz w:val="24"/>
          <w:szCs w:val="24"/>
        </w:rPr>
        <w:t>am price spikes</w:t>
      </w:r>
    </w:p>
    <w:p w:rsidR="00427FE0" w:rsidRDefault="00427FE0" w:rsidP="0020746B">
      <w:pPr>
        <w:pStyle w:val="AERbodytext"/>
      </w:pPr>
      <w:r>
        <w:t xml:space="preserve">Assume the initial level of demand to be </w:t>
      </w:r>
      <w:r w:rsidR="00931C2D">
        <w:t>5600</w:t>
      </w:r>
      <w:r>
        <w:t> MW</w:t>
      </w:r>
      <w:r w:rsidR="003650B0">
        <w:t xml:space="preserve">, as shown by the red </w:t>
      </w:r>
      <w:r w:rsidR="00BA406F">
        <w:t xml:space="preserve">dotted </w:t>
      </w:r>
      <w:r w:rsidR="003650B0">
        <w:t xml:space="preserve">line in the column marked </w:t>
      </w:r>
      <w:r w:rsidR="003650B0" w:rsidRPr="0020746B">
        <w:rPr>
          <w:i/>
        </w:rPr>
        <w:t>All Queensland offered generation</w:t>
      </w:r>
      <w:r w:rsidR="003650B0">
        <w:t xml:space="preserve"> (in the left hand pane of the figure)</w:t>
      </w:r>
      <w:r w:rsidR="00560644">
        <w:t xml:space="preserve"> in the chart below</w:t>
      </w:r>
      <w:r>
        <w:t xml:space="preserve">. This can be met by </w:t>
      </w:r>
      <w:r w:rsidR="00D2573E">
        <w:t xml:space="preserve">a combination of </w:t>
      </w:r>
      <w:r w:rsidR="008E4485">
        <w:t>5</w:t>
      </w:r>
      <w:r w:rsidR="006A39F1">
        <w:t>5</w:t>
      </w:r>
      <w:r w:rsidR="008E4485">
        <w:t>00 MW</w:t>
      </w:r>
      <w:r>
        <w:t xml:space="preserve"> </w:t>
      </w:r>
      <w:r w:rsidR="006A39F1">
        <w:t xml:space="preserve">of </w:t>
      </w:r>
      <w:r w:rsidR="00D2573E">
        <w:t xml:space="preserve">low-price </w:t>
      </w:r>
      <w:r w:rsidR="006A39F1">
        <w:t xml:space="preserve">generation capacity </w:t>
      </w:r>
      <w:r>
        <w:t xml:space="preserve">and </w:t>
      </w:r>
      <w:r w:rsidR="006A39F1">
        <w:t>180 MW of imports</w:t>
      </w:r>
      <w:r w:rsidR="00D2573E">
        <w:t>,</w:t>
      </w:r>
      <w:r>
        <w:t xml:space="preserve"> </w:t>
      </w:r>
      <w:r w:rsidR="00BA406F">
        <w:t xml:space="preserve">resulting in a </w:t>
      </w:r>
      <w:r>
        <w:t xml:space="preserve">price </w:t>
      </w:r>
      <w:r w:rsidR="006A39F1">
        <w:t>below</w:t>
      </w:r>
      <w:r>
        <w:t xml:space="preserve"> $</w:t>
      </w:r>
      <w:r w:rsidR="006A39F1">
        <w:t>300</w:t>
      </w:r>
      <w:r>
        <w:t>/</w:t>
      </w:r>
      <w:proofErr w:type="spellStart"/>
      <w:r>
        <w:t>MWh</w:t>
      </w:r>
      <w:proofErr w:type="spellEnd"/>
      <w:r>
        <w:t xml:space="preserve">. As mentioned above, common to all of these days was </w:t>
      </w:r>
      <w:r w:rsidR="00D60C8E" w:rsidRPr="007934E0">
        <w:t>a small</w:t>
      </w:r>
      <w:r w:rsidR="005D483E" w:rsidRPr="0020746B">
        <w:t xml:space="preserve"> </w:t>
      </w:r>
      <w:r>
        <w:t xml:space="preserve">increase in </w:t>
      </w:r>
      <w:r w:rsidR="007934E0">
        <w:t xml:space="preserve">five-minute </w:t>
      </w:r>
      <w:r>
        <w:t>demand</w:t>
      </w:r>
      <w:r w:rsidR="00D2573E">
        <w:t xml:space="preserve"> </w:t>
      </w:r>
      <w:r w:rsidR="00D2573E" w:rsidRPr="00D730F1">
        <w:t>(</w:t>
      </w:r>
      <w:r w:rsidR="00D2573E" w:rsidRPr="007934E0">
        <w:t xml:space="preserve">ranging from </w:t>
      </w:r>
      <w:r w:rsidR="00D2573E" w:rsidRPr="00D730F1">
        <w:t>about 70</w:t>
      </w:r>
      <w:r w:rsidR="00D2573E" w:rsidRPr="00D730F1">
        <w:rPr>
          <w:rFonts w:hint="eastAsia"/>
        </w:rPr>
        <w:t> </w:t>
      </w:r>
      <w:r w:rsidR="00D2573E" w:rsidRPr="00D730F1">
        <w:t>MW</w:t>
      </w:r>
      <w:r w:rsidR="00D2573E" w:rsidRPr="007934E0">
        <w:t xml:space="preserve"> to </w:t>
      </w:r>
      <w:r w:rsidR="00D2573E">
        <w:t>about 140 MW)</w:t>
      </w:r>
      <w:r>
        <w:t xml:space="preserve">. </w:t>
      </w:r>
      <w:r w:rsidR="00D60C8E">
        <w:t xml:space="preserve">Assume that after a small increase in demand of </w:t>
      </w:r>
      <w:r w:rsidR="00931C2D">
        <w:t>100</w:t>
      </w:r>
      <w:r w:rsidR="00D60C8E">
        <w:t xml:space="preserve"> MW, the new level of demand is </w:t>
      </w:r>
      <w:r w:rsidR="008E4485">
        <w:t>5700 MW</w:t>
      </w:r>
      <w:r w:rsidR="00D60C8E">
        <w:t xml:space="preserve">. </w:t>
      </w:r>
      <w:r w:rsidR="005659C4">
        <w:t xml:space="preserve">It would appear that this level of demand could </w:t>
      </w:r>
      <w:r w:rsidR="00EB2579">
        <w:t xml:space="preserve">still </w:t>
      </w:r>
      <w:r w:rsidR="005659C4">
        <w:t xml:space="preserve">be met </w:t>
      </w:r>
      <w:r w:rsidR="00F6367A">
        <w:t xml:space="preserve">comfortably </w:t>
      </w:r>
      <w:r w:rsidR="005659C4">
        <w:t xml:space="preserve">by </w:t>
      </w:r>
      <w:r w:rsidR="00D2573E">
        <w:t xml:space="preserve">a combination of </w:t>
      </w:r>
      <w:r w:rsidR="00F6367A">
        <w:t xml:space="preserve">low-price </w:t>
      </w:r>
      <w:r w:rsidR="00D2573E">
        <w:t>Queensland</w:t>
      </w:r>
      <w:r w:rsidR="005659C4">
        <w:t xml:space="preserve"> generation and imports.</w:t>
      </w:r>
    </w:p>
    <w:p w:rsidR="005659C4" w:rsidRDefault="005659C4" w:rsidP="0020746B">
      <w:pPr>
        <w:pStyle w:val="AERbodytext"/>
      </w:pPr>
      <w:r>
        <w:t xml:space="preserve">However, our analysis shows that during each of the events, on average around 5 per cent of low-price generation capacity </w:t>
      </w:r>
      <w:r w:rsidR="00D2573E">
        <w:t xml:space="preserve">in Queensland </w:t>
      </w:r>
      <w:r w:rsidR="00D61AC3">
        <w:t xml:space="preserve">(300 MW out of 5800 MW) </w:t>
      </w:r>
      <w:r>
        <w:t xml:space="preserve">was unable to be dispatched </w:t>
      </w:r>
      <w:r w:rsidR="00F6367A">
        <w:t xml:space="preserve">because </w:t>
      </w:r>
      <w:r w:rsidR="00D2573E">
        <w:t>certain</w:t>
      </w:r>
      <w:r w:rsidR="00F6367A">
        <w:t xml:space="preserve"> generators w</w:t>
      </w:r>
      <w:r w:rsidR="00D2573E">
        <w:t>ere</w:t>
      </w:r>
      <w:r w:rsidR="00F6367A">
        <w:t xml:space="preserve"> either trapped or stranded in FCAS (meaning they c</w:t>
      </w:r>
      <w:r w:rsidR="00D51F32">
        <w:t>ould not</w:t>
      </w:r>
      <w:r w:rsidR="00F6367A">
        <w:t xml:space="preserve"> vary their energy output for that five minutes), or ramp up rate limited.</w:t>
      </w:r>
    </w:p>
    <w:p w:rsidR="00560644" w:rsidRDefault="00560644" w:rsidP="0020746B">
      <w:pPr>
        <w:pStyle w:val="AERbodytext"/>
      </w:pPr>
      <w:r>
        <w:t xml:space="preserve">In addition, common to all of the events was that a significant proportion of fast start plant </w:t>
      </w:r>
      <w:r w:rsidRPr="00977F5F">
        <w:t xml:space="preserve">(i.e. </w:t>
      </w:r>
      <w:r>
        <w:t>plant that is able to synchronise and reach minimum loading within 30 minutes</w:t>
      </w:r>
      <w:r w:rsidRPr="00977F5F">
        <w:t xml:space="preserve">) </w:t>
      </w:r>
      <w:r w:rsidR="00506E60">
        <w:t>was offline prior to the time of the high prices.</w:t>
      </w:r>
      <w:r>
        <w:t xml:space="preserve"> In the left hand column, we show 1200</w:t>
      </w:r>
      <w:r w:rsidR="00506E60">
        <w:t> </w:t>
      </w:r>
      <w:r>
        <w:t>MW of fast start plant bid in at between $300/</w:t>
      </w:r>
      <w:proofErr w:type="spellStart"/>
      <w:r>
        <w:t>MWh</w:t>
      </w:r>
      <w:proofErr w:type="spellEnd"/>
      <w:r>
        <w:t xml:space="preserve"> and $5000/</w:t>
      </w:r>
      <w:proofErr w:type="spellStart"/>
      <w:r>
        <w:t>MWh</w:t>
      </w:r>
      <w:proofErr w:type="spellEnd"/>
      <w:r w:rsidR="00506E60">
        <w:t>, and 850 MW of fast start plant bid in at between $5000/</w:t>
      </w:r>
      <w:proofErr w:type="spellStart"/>
      <w:r w:rsidR="00506E60">
        <w:t>MWh</w:t>
      </w:r>
      <w:proofErr w:type="spellEnd"/>
      <w:r w:rsidR="00506E60">
        <w:t xml:space="preserve"> and $13 100/</w:t>
      </w:r>
      <w:proofErr w:type="spellStart"/>
      <w:r w:rsidR="00506E60">
        <w:t>MWh</w:t>
      </w:r>
      <w:proofErr w:type="spellEnd"/>
      <w:r>
        <w:t xml:space="preserve">. However, </w:t>
      </w:r>
      <w:r w:rsidRPr="009A0292">
        <w:t>much</w:t>
      </w:r>
      <w:r>
        <w:t xml:space="preserve"> of this capacity </w:t>
      </w:r>
      <w:r w:rsidRPr="00977F5F">
        <w:t xml:space="preserve">takes more than </w:t>
      </w:r>
      <w:r>
        <w:t>five</w:t>
      </w:r>
      <w:r w:rsidRPr="00977F5F">
        <w:t xml:space="preserve"> minutes to start generating, which means that it is unable to be dispatched in </w:t>
      </w:r>
      <w:r>
        <w:t>a</w:t>
      </w:r>
      <w:r w:rsidRPr="00977F5F">
        <w:t xml:space="preserve"> dispatch interval to meet the increase in </w:t>
      </w:r>
      <w:r>
        <w:t xml:space="preserve">five-minute </w:t>
      </w:r>
      <w:r w:rsidRPr="00977F5F">
        <w:t>demand</w:t>
      </w:r>
      <w:r>
        <w:t xml:space="preserve"> for that dispatch interval</w:t>
      </w:r>
      <w:r w:rsidRPr="00977F5F">
        <w:t xml:space="preserve">. </w:t>
      </w:r>
    </w:p>
    <w:p w:rsidR="004B6B52" w:rsidRDefault="006C5BF7" w:rsidP="0020746B">
      <w:pPr>
        <w:pStyle w:val="Figureheading"/>
        <w:numPr>
          <w:ilvl w:val="0"/>
          <w:numId w:val="0"/>
        </w:numPr>
        <w:jc w:val="left"/>
      </w:pPr>
      <w:r>
        <w:t>Spotlight figure: O</w:t>
      </w:r>
      <w:r w:rsidR="004B6B52">
        <w:t>ffers within price bands – comparison of total offers and effective offers</w:t>
      </w:r>
    </w:p>
    <w:p w:rsidR="004B6B52" w:rsidRDefault="00E73C34" w:rsidP="003D6FB3">
      <w:pPr>
        <w:rPr>
          <w:lang w:eastAsia="en-US"/>
        </w:rPr>
      </w:pPr>
      <w:r>
        <w:pict>
          <v:shape id="_x0000_i1026" type="#_x0000_t75" alt="The spotlight figure compares total offers and effective offers. " style="width:451.6pt;height:186.05pt">
            <v:imagedata r:id="rId9" o:title=""/>
          </v:shape>
        </w:pict>
      </w:r>
    </w:p>
    <w:p w:rsidR="0037576F" w:rsidRDefault="003650B0" w:rsidP="0020746B">
      <w:pPr>
        <w:pStyle w:val="AERbodytext"/>
      </w:pPr>
      <w:r>
        <w:t xml:space="preserve">The </w:t>
      </w:r>
      <w:r w:rsidR="00E50DFD">
        <w:t>right hand pane</w:t>
      </w:r>
      <w:r>
        <w:t xml:space="preserve"> illustrates the impact of removing </w:t>
      </w:r>
      <w:r w:rsidR="00FF1CA0">
        <w:t xml:space="preserve">the </w:t>
      </w:r>
      <w:r>
        <w:t xml:space="preserve">generation </w:t>
      </w:r>
      <w:r w:rsidR="00D2573E">
        <w:t xml:space="preserve">capacity </w:t>
      </w:r>
      <w:r>
        <w:t xml:space="preserve">that is unable to start </w:t>
      </w:r>
      <w:r w:rsidR="00D2573E">
        <w:t xml:space="preserve">or increase energy output </w:t>
      </w:r>
      <w:r>
        <w:t>due to technical considerations</w:t>
      </w:r>
      <w:r w:rsidR="00E50DFD">
        <w:t xml:space="preserve"> (i.e. it is the amount of capacity that is effectively offered in the dispatch interval)</w:t>
      </w:r>
      <w:r>
        <w:t xml:space="preserve">. It shows that the only way the new level of demand can be met is by dispatching </w:t>
      </w:r>
      <w:r w:rsidR="00FF1CA0">
        <w:t xml:space="preserve">on-line </w:t>
      </w:r>
      <w:r>
        <w:t xml:space="preserve">high-price generation, </w:t>
      </w:r>
      <w:r w:rsidR="00E50DFD">
        <w:t xml:space="preserve">thus </w:t>
      </w:r>
      <w:r>
        <w:t>setting the dispatch price at the price cap.</w:t>
      </w:r>
      <w:r w:rsidR="0037576F">
        <w:t xml:space="preserve"> </w:t>
      </w:r>
    </w:p>
    <w:p w:rsidR="00F83806" w:rsidRDefault="00F50D3A" w:rsidP="00BF51AE">
      <w:pPr>
        <w:pStyle w:val="Heading2"/>
      </w:pPr>
      <w:r>
        <w:t>S</w:t>
      </w:r>
      <w:r w:rsidR="00687B08">
        <w:t>pot market prices</w:t>
      </w:r>
    </w:p>
    <w:p w:rsidR="00687B08" w:rsidRPr="007556DA" w:rsidRDefault="00687B08" w:rsidP="00F50D3A">
      <w:pPr>
        <w:pStyle w:val="AERbodytext"/>
      </w:pPr>
      <w:bookmarkStart w:id="7" w:name="OLE_LINK28"/>
      <w:bookmarkStart w:id="8" w:name="OLE_LINK29"/>
      <w:r w:rsidRPr="00181657">
        <w:t xml:space="preserve">Figure 1 </w:t>
      </w:r>
      <w:proofErr w:type="gramStart"/>
      <w:r w:rsidR="00953237">
        <w:t>shows</w:t>
      </w:r>
      <w:proofErr w:type="gramEnd"/>
      <w:r w:rsidRPr="00181657">
        <w:t xml:space="preserve"> the volume weighted average (VWA) prices for </w:t>
      </w:r>
      <w:r w:rsidR="00B032DD">
        <w:t xml:space="preserve">the current </w:t>
      </w:r>
      <w:r w:rsidRPr="00181657">
        <w:t xml:space="preserve">week </w:t>
      </w:r>
      <w:r w:rsidR="008220CF">
        <w:t xml:space="preserve">(with prices shown in </w:t>
      </w:r>
      <w:r w:rsidR="00C42BF3" w:rsidRPr="007556DA">
        <w:t>T</w:t>
      </w:r>
      <w:r w:rsidR="008220CF" w:rsidRPr="007556DA">
        <w:t>able</w:t>
      </w:r>
      <w:r w:rsidR="00C42BF3" w:rsidRPr="007556DA">
        <w:t xml:space="preserve"> 1</w:t>
      </w:r>
      <w:r w:rsidR="008220CF" w:rsidRPr="007556DA">
        <w:t xml:space="preserve">) </w:t>
      </w:r>
      <w:r w:rsidRPr="007556DA">
        <w:t xml:space="preserve">and </w:t>
      </w:r>
      <w:r w:rsidR="00237FD8" w:rsidRPr="007556DA">
        <w:t xml:space="preserve">the </w:t>
      </w:r>
      <w:r w:rsidRPr="007556DA">
        <w:t xml:space="preserve">preceding </w:t>
      </w:r>
      <w:r w:rsidR="00237FD8" w:rsidRPr="007556DA">
        <w:t xml:space="preserve">12 </w:t>
      </w:r>
      <w:r w:rsidRPr="007556DA">
        <w:t>weeks</w:t>
      </w:r>
      <w:r w:rsidR="00953237" w:rsidRPr="007556DA">
        <w:t>, as well as</w:t>
      </w:r>
      <w:r w:rsidRPr="007556DA">
        <w:t xml:space="preserve"> the VWA </w:t>
      </w:r>
      <w:r w:rsidR="00C12B08" w:rsidRPr="007556DA">
        <w:t xml:space="preserve">price </w:t>
      </w:r>
      <w:r w:rsidRPr="007556DA">
        <w:t xml:space="preserve">over the </w:t>
      </w:r>
      <w:r w:rsidR="00953237" w:rsidRPr="007556DA">
        <w:t xml:space="preserve">previous </w:t>
      </w:r>
      <w:r w:rsidRPr="007556DA">
        <w:t>3</w:t>
      </w:r>
      <w:r w:rsidR="00953237" w:rsidRPr="007556DA">
        <w:t> financial </w:t>
      </w:r>
      <w:r w:rsidRPr="007556DA">
        <w:t>years.</w:t>
      </w:r>
      <w:r w:rsidR="00941AA9" w:rsidRPr="007556DA">
        <w:t xml:space="preserve"> </w:t>
      </w:r>
    </w:p>
    <w:p w:rsidR="00B027E9" w:rsidRDefault="00687B08">
      <w:pPr>
        <w:pStyle w:val="Figureheading"/>
        <w:numPr>
          <w:ilvl w:val="0"/>
          <w:numId w:val="0"/>
        </w:numPr>
        <w:spacing w:after="0"/>
        <w:ind w:left="357" w:hanging="357"/>
      </w:pPr>
      <w:bookmarkStart w:id="9" w:name="_Ref307219594"/>
      <w:r w:rsidRPr="007556DA">
        <w:t xml:space="preserve">Figure </w:t>
      </w:r>
      <w:bookmarkEnd w:id="9"/>
      <w:r w:rsidRPr="007556DA">
        <w:t xml:space="preserve">1: </w:t>
      </w:r>
      <w:r w:rsidR="00656C5F" w:rsidRPr="007556DA">
        <w:t>Volume weighted average spot price by region ($/</w:t>
      </w:r>
      <w:proofErr w:type="spellStart"/>
      <w:r w:rsidR="00656C5F" w:rsidRPr="007556DA">
        <w:t>MWh</w:t>
      </w:r>
      <w:proofErr w:type="spellEnd"/>
      <w:r w:rsidR="00656C5F" w:rsidRPr="007556DA">
        <w:t>)</w:t>
      </w:r>
    </w:p>
    <w:p w:rsidR="00785F23" w:rsidRPr="00785F23" w:rsidRDefault="00E73C34" w:rsidP="00785F23">
      <w:pPr>
        <w:pStyle w:val="AERbodytext"/>
      </w:pPr>
      <w:r>
        <w:pict>
          <v:shape id="_x0000_i1027" type="#_x0000_t75" alt="Figure 1 shows the volume weighted average (VWA) prices for this week (with prices shown in Table 1) and the preceding 12 weeks, as well as the VWA price over the previous 3 financial years.    &#10;" style="width:450.45pt;height:226.35pt">
            <v:imagedata r:id="rId10" o:title=""/>
          </v:shape>
        </w:pict>
      </w:r>
    </w:p>
    <w:p w:rsidR="00965EA9" w:rsidRPr="007556DA" w:rsidRDefault="00965EA9" w:rsidP="00965EA9">
      <w:pPr>
        <w:pStyle w:val="AERtabletitle"/>
      </w:pPr>
      <w:r w:rsidRPr="007556DA">
        <w:t xml:space="preserve">Table 1: </w:t>
      </w:r>
      <w:r w:rsidR="008B0A6A" w:rsidRPr="007556DA">
        <w:t xml:space="preserve">Volume weighted </w:t>
      </w:r>
      <w:r w:rsidRPr="007556DA">
        <w:t>average spot price</w:t>
      </w:r>
      <w:r w:rsidR="00525D52" w:rsidRPr="007556DA">
        <w:t>s</w:t>
      </w:r>
      <w:r w:rsidRPr="007556DA">
        <w:t xml:space="preserve"> by region</w:t>
      </w:r>
      <w:r w:rsidR="008B0A6A" w:rsidRPr="007556DA">
        <w:t xml:space="preserve"> ($/</w:t>
      </w:r>
      <w:proofErr w:type="spellStart"/>
      <w:r w:rsidR="008B0A6A" w:rsidRPr="007556DA">
        <w:t>MWh</w:t>
      </w:r>
      <w:proofErr w:type="spellEnd"/>
      <w:r w:rsidR="008B0A6A" w:rsidRPr="007556DA">
        <w:t>)</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7556DA" w:rsidRPr="007556DA" w:rsidTr="00D70101">
        <w:trPr>
          <w:trHeight w:hRule="exact" w:val="454"/>
        </w:trPr>
        <w:tc>
          <w:tcPr>
            <w:tcW w:w="1809"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Region</w:t>
            </w:r>
          </w:p>
        </w:tc>
        <w:tc>
          <w:tcPr>
            <w:tcW w:w="1276"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Qld</w:t>
            </w:r>
          </w:p>
        </w:tc>
        <w:tc>
          <w:tcPr>
            <w:tcW w:w="1275"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NSW</w:t>
            </w:r>
          </w:p>
        </w:tc>
        <w:tc>
          <w:tcPr>
            <w:tcW w:w="1276"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Vic</w:t>
            </w:r>
          </w:p>
        </w:tc>
        <w:tc>
          <w:tcPr>
            <w:tcW w:w="1134" w:type="dxa"/>
            <w:tcBorders>
              <w:bottom w:val="nil"/>
            </w:tcBorders>
            <w:shd w:val="clear" w:color="auto" w:fill="4A442A" w:themeFill="background2" w:themeFillShade="40"/>
            <w:noWrap/>
            <w:vAlign w:val="center"/>
          </w:tcPr>
          <w:p w:rsidR="00D70101" w:rsidRPr="00470218" w:rsidRDefault="00D70101">
            <w:pPr>
              <w:jc w:val="center"/>
              <w:rPr>
                <w:rFonts w:cs="Gautami"/>
                <w:b/>
                <w:bCs/>
                <w:color w:val="FFFFFF" w:themeColor="background1"/>
                <w:sz w:val="16"/>
                <w:szCs w:val="16"/>
              </w:rPr>
            </w:pPr>
            <w:r w:rsidRPr="00470218">
              <w:rPr>
                <w:rFonts w:cs="Gautami"/>
                <w:b/>
                <w:bCs/>
                <w:color w:val="FFFFFF" w:themeColor="background1"/>
                <w:sz w:val="16"/>
                <w:szCs w:val="16"/>
              </w:rPr>
              <w:t>SA</w:t>
            </w:r>
          </w:p>
        </w:tc>
        <w:tc>
          <w:tcPr>
            <w:tcW w:w="1275" w:type="dxa"/>
            <w:tcBorders>
              <w:bottom w:val="nil"/>
            </w:tcBorders>
            <w:shd w:val="clear" w:color="auto" w:fill="4A442A" w:themeFill="background2" w:themeFillShade="40"/>
            <w:vAlign w:val="center"/>
          </w:tcPr>
          <w:p w:rsidR="00D70101" w:rsidRPr="00470218" w:rsidRDefault="00D70101">
            <w:pPr>
              <w:jc w:val="center"/>
              <w:rPr>
                <w:rFonts w:cs="Gautami"/>
                <w:b/>
                <w:bCs/>
                <w:color w:val="FFFFFF" w:themeColor="background1"/>
                <w:sz w:val="16"/>
                <w:szCs w:val="16"/>
              </w:rPr>
            </w:pPr>
            <w:proofErr w:type="spellStart"/>
            <w:r w:rsidRPr="00470218">
              <w:rPr>
                <w:rFonts w:cs="Gautami"/>
                <w:b/>
                <w:bCs/>
                <w:color w:val="FFFFFF" w:themeColor="background1"/>
                <w:sz w:val="16"/>
                <w:szCs w:val="16"/>
              </w:rPr>
              <w:t>Tas</w:t>
            </w:r>
            <w:proofErr w:type="spellEnd"/>
          </w:p>
        </w:tc>
      </w:tr>
      <w:tr w:rsidR="00537009" w:rsidRPr="007556DA" w:rsidTr="00CA5F6C">
        <w:trPr>
          <w:trHeight w:hRule="exact" w:val="454"/>
        </w:trPr>
        <w:tc>
          <w:tcPr>
            <w:tcW w:w="1809" w:type="dxa"/>
            <w:tcBorders>
              <w:top w:val="nil"/>
              <w:bottom w:val="nil"/>
            </w:tcBorders>
            <w:shd w:val="clear" w:color="auto" w:fill="DDD9C3" w:themeFill="background2" w:themeFillShade="E6"/>
            <w:noWrap/>
            <w:vAlign w:val="center"/>
          </w:tcPr>
          <w:p w:rsidR="00537009" w:rsidRPr="007556DA" w:rsidRDefault="00537009">
            <w:pPr>
              <w:rPr>
                <w:rFonts w:cs="Gautami"/>
                <w:b/>
                <w:bCs/>
                <w:sz w:val="16"/>
                <w:szCs w:val="16"/>
              </w:rPr>
            </w:pPr>
            <w:r>
              <w:rPr>
                <w:rFonts w:cs="Gautami"/>
                <w:b/>
                <w:bCs/>
                <w:sz w:val="16"/>
                <w:szCs w:val="16"/>
              </w:rPr>
              <w:t>Current week</w:t>
            </w:r>
          </w:p>
        </w:tc>
        <w:tc>
          <w:tcPr>
            <w:tcW w:w="1276" w:type="dxa"/>
            <w:tcBorders>
              <w:top w:val="nil"/>
              <w:bottom w:val="nil"/>
            </w:tcBorders>
            <w:shd w:val="clear" w:color="auto" w:fill="DDD9C3" w:themeFill="background2" w:themeFillShade="E6"/>
            <w:noWrap/>
            <w:vAlign w:val="center"/>
          </w:tcPr>
          <w:p w:rsidR="00537009" w:rsidRDefault="00537009">
            <w:pPr>
              <w:jc w:val="center"/>
              <w:rPr>
                <w:rFonts w:cs="Gautami"/>
                <w:sz w:val="16"/>
                <w:szCs w:val="16"/>
              </w:rPr>
            </w:pPr>
            <w:r>
              <w:rPr>
                <w:rFonts w:cs="Gautami"/>
                <w:sz w:val="16"/>
                <w:szCs w:val="16"/>
              </w:rPr>
              <w:t>64</w:t>
            </w:r>
          </w:p>
        </w:tc>
        <w:tc>
          <w:tcPr>
            <w:tcW w:w="1275" w:type="dxa"/>
            <w:tcBorders>
              <w:top w:val="nil"/>
              <w:bottom w:val="nil"/>
            </w:tcBorders>
            <w:shd w:val="clear" w:color="auto" w:fill="DDD9C3" w:themeFill="background2" w:themeFillShade="E6"/>
            <w:noWrap/>
            <w:vAlign w:val="center"/>
          </w:tcPr>
          <w:p w:rsidR="00537009" w:rsidRDefault="00537009">
            <w:pPr>
              <w:jc w:val="center"/>
              <w:rPr>
                <w:rFonts w:cs="Gautami"/>
                <w:sz w:val="16"/>
                <w:szCs w:val="16"/>
              </w:rPr>
            </w:pPr>
            <w:r>
              <w:rPr>
                <w:rFonts w:cs="Gautami"/>
                <w:sz w:val="16"/>
                <w:szCs w:val="16"/>
              </w:rPr>
              <w:t>55</w:t>
            </w:r>
          </w:p>
        </w:tc>
        <w:tc>
          <w:tcPr>
            <w:tcW w:w="1276" w:type="dxa"/>
            <w:tcBorders>
              <w:top w:val="nil"/>
              <w:bottom w:val="nil"/>
            </w:tcBorders>
            <w:shd w:val="clear" w:color="auto" w:fill="DDD9C3" w:themeFill="background2" w:themeFillShade="E6"/>
            <w:vAlign w:val="center"/>
          </w:tcPr>
          <w:p w:rsidR="00537009" w:rsidRDefault="00537009">
            <w:pPr>
              <w:jc w:val="center"/>
              <w:rPr>
                <w:rFonts w:cs="Gautami"/>
                <w:sz w:val="16"/>
                <w:szCs w:val="16"/>
              </w:rPr>
            </w:pPr>
            <w:r>
              <w:rPr>
                <w:rFonts w:cs="Gautami"/>
                <w:sz w:val="16"/>
                <w:szCs w:val="16"/>
              </w:rPr>
              <w:t>53</w:t>
            </w:r>
          </w:p>
        </w:tc>
        <w:tc>
          <w:tcPr>
            <w:tcW w:w="1134" w:type="dxa"/>
            <w:tcBorders>
              <w:top w:val="nil"/>
              <w:bottom w:val="nil"/>
            </w:tcBorders>
            <w:shd w:val="clear" w:color="auto" w:fill="DDD9C3" w:themeFill="background2" w:themeFillShade="E6"/>
            <w:noWrap/>
            <w:vAlign w:val="center"/>
          </w:tcPr>
          <w:p w:rsidR="00537009" w:rsidRDefault="00537009">
            <w:pPr>
              <w:jc w:val="center"/>
              <w:rPr>
                <w:rFonts w:cs="Gautami"/>
                <w:sz w:val="16"/>
                <w:szCs w:val="16"/>
              </w:rPr>
            </w:pPr>
            <w:r>
              <w:rPr>
                <w:rFonts w:cs="Gautami"/>
                <w:sz w:val="16"/>
                <w:szCs w:val="16"/>
              </w:rPr>
              <w:t>69</w:t>
            </w:r>
          </w:p>
        </w:tc>
        <w:tc>
          <w:tcPr>
            <w:tcW w:w="1275" w:type="dxa"/>
            <w:tcBorders>
              <w:top w:val="nil"/>
              <w:bottom w:val="nil"/>
            </w:tcBorders>
            <w:shd w:val="clear" w:color="auto" w:fill="DDD9C3" w:themeFill="background2" w:themeFillShade="E6"/>
            <w:vAlign w:val="center"/>
          </w:tcPr>
          <w:p w:rsidR="00537009" w:rsidRDefault="00537009">
            <w:pPr>
              <w:jc w:val="center"/>
              <w:rPr>
                <w:rFonts w:cs="Gautami"/>
                <w:sz w:val="16"/>
                <w:szCs w:val="16"/>
              </w:rPr>
            </w:pPr>
            <w:r>
              <w:rPr>
                <w:rFonts w:cs="Gautami"/>
                <w:sz w:val="16"/>
                <w:szCs w:val="16"/>
              </w:rPr>
              <w:t>44</w:t>
            </w:r>
          </w:p>
        </w:tc>
      </w:tr>
      <w:tr w:rsidR="00537009" w:rsidRPr="007556DA" w:rsidTr="00CA5F6C">
        <w:trPr>
          <w:trHeight w:hRule="exact" w:val="454"/>
        </w:trPr>
        <w:tc>
          <w:tcPr>
            <w:tcW w:w="1809" w:type="dxa"/>
            <w:tcBorders>
              <w:top w:val="nil"/>
              <w:bottom w:val="nil"/>
            </w:tcBorders>
            <w:shd w:val="clear" w:color="auto" w:fill="EEECE1" w:themeFill="background2"/>
            <w:noWrap/>
            <w:vAlign w:val="center"/>
          </w:tcPr>
          <w:p w:rsidR="00537009" w:rsidRPr="007556DA" w:rsidRDefault="00537009">
            <w:pPr>
              <w:rPr>
                <w:rFonts w:cs="Gautami"/>
                <w:b/>
                <w:bCs/>
                <w:sz w:val="16"/>
                <w:szCs w:val="16"/>
              </w:rPr>
            </w:pPr>
            <w:r>
              <w:rPr>
                <w:rFonts w:cs="Gautami"/>
                <w:b/>
                <w:bCs/>
                <w:sz w:val="16"/>
                <w:szCs w:val="16"/>
              </w:rPr>
              <w:t>12-13 financial YTD</w:t>
            </w:r>
          </w:p>
        </w:tc>
        <w:tc>
          <w:tcPr>
            <w:tcW w:w="1276" w:type="dxa"/>
            <w:tcBorders>
              <w:top w:val="nil"/>
              <w:bottom w:val="nil"/>
            </w:tcBorders>
            <w:shd w:val="clear" w:color="auto" w:fill="EEECE1" w:themeFill="background2"/>
            <w:noWrap/>
            <w:vAlign w:val="center"/>
          </w:tcPr>
          <w:p w:rsidR="00537009" w:rsidRDefault="00537009">
            <w:pPr>
              <w:jc w:val="center"/>
              <w:rPr>
                <w:rFonts w:cs="Gautami"/>
                <w:sz w:val="16"/>
                <w:szCs w:val="16"/>
              </w:rPr>
            </w:pPr>
            <w:r>
              <w:rPr>
                <w:rFonts w:cs="Gautami"/>
                <w:sz w:val="16"/>
                <w:szCs w:val="16"/>
              </w:rPr>
              <w:t>60</w:t>
            </w:r>
          </w:p>
        </w:tc>
        <w:tc>
          <w:tcPr>
            <w:tcW w:w="1275" w:type="dxa"/>
            <w:tcBorders>
              <w:top w:val="nil"/>
              <w:bottom w:val="nil"/>
            </w:tcBorders>
            <w:shd w:val="clear" w:color="auto" w:fill="EEECE1" w:themeFill="background2"/>
            <w:noWrap/>
            <w:vAlign w:val="center"/>
          </w:tcPr>
          <w:p w:rsidR="00537009" w:rsidRDefault="00537009">
            <w:pPr>
              <w:jc w:val="center"/>
              <w:rPr>
                <w:rFonts w:cs="Gautami"/>
                <w:sz w:val="16"/>
                <w:szCs w:val="16"/>
              </w:rPr>
            </w:pPr>
            <w:r>
              <w:rPr>
                <w:rFonts w:cs="Gautami"/>
                <w:sz w:val="16"/>
                <w:szCs w:val="16"/>
              </w:rPr>
              <w:t>63</w:t>
            </w:r>
          </w:p>
        </w:tc>
        <w:tc>
          <w:tcPr>
            <w:tcW w:w="1276" w:type="dxa"/>
            <w:tcBorders>
              <w:top w:val="nil"/>
              <w:bottom w:val="nil"/>
            </w:tcBorders>
            <w:shd w:val="clear" w:color="auto" w:fill="EEECE1" w:themeFill="background2"/>
            <w:vAlign w:val="center"/>
          </w:tcPr>
          <w:p w:rsidR="00537009" w:rsidRDefault="00537009">
            <w:pPr>
              <w:jc w:val="center"/>
              <w:rPr>
                <w:rFonts w:cs="Gautami"/>
                <w:sz w:val="16"/>
                <w:szCs w:val="16"/>
              </w:rPr>
            </w:pPr>
            <w:r>
              <w:rPr>
                <w:rFonts w:cs="Gautami"/>
                <w:sz w:val="16"/>
                <w:szCs w:val="16"/>
              </w:rPr>
              <w:t>66</w:t>
            </w:r>
          </w:p>
        </w:tc>
        <w:tc>
          <w:tcPr>
            <w:tcW w:w="1134" w:type="dxa"/>
            <w:tcBorders>
              <w:top w:val="nil"/>
              <w:bottom w:val="nil"/>
            </w:tcBorders>
            <w:shd w:val="clear" w:color="auto" w:fill="EEECE1" w:themeFill="background2"/>
            <w:noWrap/>
            <w:vAlign w:val="center"/>
          </w:tcPr>
          <w:p w:rsidR="00537009" w:rsidRDefault="00537009">
            <w:pPr>
              <w:jc w:val="center"/>
              <w:rPr>
                <w:rFonts w:cs="Gautami"/>
                <w:sz w:val="16"/>
                <w:szCs w:val="16"/>
              </w:rPr>
            </w:pPr>
            <w:r>
              <w:rPr>
                <w:rFonts w:cs="Gautami"/>
                <w:sz w:val="16"/>
                <w:szCs w:val="16"/>
              </w:rPr>
              <w:t>73</w:t>
            </w:r>
          </w:p>
        </w:tc>
        <w:tc>
          <w:tcPr>
            <w:tcW w:w="1275" w:type="dxa"/>
            <w:tcBorders>
              <w:top w:val="nil"/>
              <w:bottom w:val="nil"/>
            </w:tcBorders>
            <w:shd w:val="clear" w:color="auto" w:fill="EEECE1" w:themeFill="background2"/>
            <w:vAlign w:val="center"/>
          </w:tcPr>
          <w:p w:rsidR="00537009" w:rsidRDefault="00537009">
            <w:pPr>
              <w:jc w:val="center"/>
              <w:rPr>
                <w:rFonts w:cs="Gautami"/>
                <w:sz w:val="16"/>
                <w:szCs w:val="16"/>
              </w:rPr>
            </w:pPr>
            <w:r>
              <w:rPr>
                <w:rFonts w:cs="Gautami"/>
                <w:sz w:val="16"/>
                <w:szCs w:val="16"/>
              </w:rPr>
              <w:t>54</w:t>
            </w:r>
          </w:p>
        </w:tc>
      </w:tr>
      <w:tr w:rsidR="00537009" w:rsidRPr="007556DA"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537009" w:rsidRPr="007556DA" w:rsidRDefault="00537009">
            <w:pPr>
              <w:rPr>
                <w:rFonts w:cs="Gautami"/>
                <w:b/>
                <w:bCs/>
                <w:sz w:val="16"/>
                <w:szCs w:val="16"/>
              </w:rPr>
            </w:pPr>
            <w:r>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537009" w:rsidRDefault="00537009">
            <w:pPr>
              <w:jc w:val="center"/>
              <w:rPr>
                <w:rFonts w:cs="Gautami"/>
                <w:sz w:val="16"/>
                <w:szCs w:val="16"/>
              </w:rPr>
            </w:pPr>
            <w:r>
              <w:rPr>
                <w:rFonts w:cs="Gautami"/>
                <w:sz w:val="16"/>
                <w:szCs w:val="16"/>
              </w:rPr>
              <w:t>62</w:t>
            </w:r>
          </w:p>
        </w:tc>
        <w:tc>
          <w:tcPr>
            <w:tcW w:w="1275" w:type="dxa"/>
            <w:tcBorders>
              <w:top w:val="nil"/>
              <w:bottom w:val="single" w:sz="4" w:space="0" w:color="auto"/>
            </w:tcBorders>
            <w:shd w:val="clear" w:color="auto" w:fill="DDD9C3" w:themeFill="background2" w:themeFillShade="E6"/>
            <w:noWrap/>
            <w:vAlign w:val="center"/>
          </w:tcPr>
          <w:p w:rsidR="00537009" w:rsidRDefault="00537009">
            <w:pPr>
              <w:jc w:val="center"/>
              <w:rPr>
                <w:rFonts w:cs="Gautami"/>
                <w:sz w:val="16"/>
                <w:szCs w:val="16"/>
              </w:rPr>
            </w:pPr>
            <w:r>
              <w:rPr>
                <w:rFonts w:cs="Gautami"/>
                <w:sz w:val="16"/>
                <w:szCs w:val="16"/>
              </w:rPr>
              <w:t>57</w:t>
            </w:r>
          </w:p>
        </w:tc>
        <w:tc>
          <w:tcPr>
            <w:tcW w:w="1276" w:type="dxa"/>
            <w:tcBorders>
              <w:top w:val="nil"/>
              <w:bottom w:val="single" w:sz="4" w:space="0" w:color="auto"/>
            </w:tcBorders>
            <w:shd w:val="clear" w:color="auto" w:fill="DDD9C3" w:themeFill="background2" w:themeFillShade="E6"/>
            <w:vAlign w:val="center"/>
          </w:tcPr>
          <w:p w:rsidR="00537009" w:rsidRDefault="00537009">
            <w:pPr>
              <w:jc w:val="center"/>
              <w:rPr>
                <w:rFonts w:cs="Gautami"/>
                <w:sz w:val="16"/>
                <w:szCs w:val="16"/>
              </w:rPr>
            </w:pPr>
            <w:r>
              <w:rPr>
                <w:rFonts w:cs="Gautami"/>
                <w:sz w:val="16"/>
                <w:szCs w:val="16"/>
              </w:rPr>
              <w:t>57</w:t>
            </w:r>
          </w:p>
        </w:tc>
        <w:tc>
          <w:tcPr>
            <w:tcW w:w="1134" w:type="dxa"/>
            <w:tcBorders>
              <w:top w:val="nil"/>
              <w:bottom w:val="single" w:sz="4" w:space="0" w:color="auto"/>
            </w:tcBorders>
            <w:shd w:val="clear" w:color="auto" w:fill="DDD9C3" w:themeFill="background2" w:themeFillShade="E6"/>
            <w:noWrap/>
            <w:vAlign w:val="center"/>
          </w:tcPr>
          <w:p w:rsidR="00537009" w:rsidRDefault="00537009">
            <w:pPr>
              <w:jc w:val="center"/>
              <w:rPr>
                <w:rFonts w:cs="Gautami"/>
                <w:sz w:val="16"/>
                <w:szCs w:val="16"/>
              </w:rPr>
            </w:pPr>
            <w:r>
              <w:rPr>
                <w:rFonts w:cs="Gautami"/>
                <w:sz w:val="16"/>
                <w:szCs w:val="16"/>
              </w:rPr>
              <w:t>73</w:t>
            </w:r>
          </w:p>
        </w:tc>
        <w:tc>
          <w:tcPr>
            <w:tcW w:w="1275" w:type="dxa"/>
            <w:tcBorders>
              <w:top w:val="nil"/>
              <w:bottom w:val="single" w:sz="4" w:space="0" w:color="auto"/>
            </w:tcBorders>
            <w:shd w:val="clear" w:color="auto" w:fill="DDD9C3" w:themeFill="background2" w:themeFillShade="E6"/>
            <w:vAlign w:val="center"/>
          </w:tcPr>
          <w:p w:rsidR="00537009" w:rsidRDefault="00537009">
            <w:pPr>
              <w:jc w:val="center"/>
              <w:rPr>
                <w:rFonts w:cs="Gautami"/>
                <w:sz w:val="16"/>
                <w:szCs w:val="16"/>
              </w:rPr>
            </w:pPr>
            <w:r>
              <w:rPr>
                <w:rFonts w:cs="Gautami"/>
                <w:sz w:val="16"/>
                <w:szCs w:val="16"/>
              </w:rPr>
              <w:t>49</w:t>
            </w:r>
          </w:p>
        </w:tc>
      </w:tr>
    </w:tbl>
    <w:p w:rsidR="00977DC4" w:rsidRDefault="00B245E8" w:rsidP="00977DC4">
      <w:pPr>
        <w:pStyle w:val="AERbodytext"/>
        <w:spacing w:before="120"/>
      </w:pPr>
      <w:r>
        <w:t xml:space="preserve">Longer-term statistics tracking average spot market prices are available </w:t>
      </w:r>
      <w:r w:rsidR="000F1E82">
        <w:t xml:space="preserve">on the </w:t>
      </w:r>
      <w:hyperlink r:id="rId11" w:history="1">
        <w:r w:rsidR="000F1E82">
          <w:rPr>
            <w:rStyle w:val="Hyperlink"/>
          </w:rPr>
          <w:t>AER website</w:t>
        </w:r>
      </w:hyperlink>
      <w:r>
        <w:t xml:space="preserve">. </w:t>
      </w:r>
    </w:p>
    <w:bookmarkEnd w:id="7"/>
    <w:bookmarkEnd w:id="8"/>
    <w:p w:rsidR="006E199B" w:rsidRDefault="007F5786" w:rsidP="00BD4E2C">
      <w:pPr>
        <w:pStyle w:val="Heading2"/>
      </w:pPr>
      <w:r>
        <w:t xml:space="preserve">Spot market </w:t>
      </w:r>
      <w:r w:rsidR="00D71DBA">
        <w:t xml:space="preserve">price </w:t>
      </w:r>
      <w:r>
        <w:t>forecast variations</w:t>
      </w:r>
    </w:p>
    <w:p w:rsidR="00083C2C" w:rsidRDefault="009559D6" w:rsidP="00977DC4">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00B71EC1" w:rsidRPr="00B71EC1">
        <w:t xml:space="preserve">A </w:t>
      </w:r>
      <w:r w:rsidR="00DC7C6B">
        <w:t xml:space="preserve">key focus is whether </w:t>
      </w:r>
      <w:r w:rsidR="00B71EC1" w:rsidRPr="00B71EC1">
        <w:t>the actual price differs significantly from the forecast price either four or 12 hours ahead.</w:t>
      </w:r>
      <w:r w:rsidR="008270D7">
        <w:t xml:space="preserve"> </w:t>
      </w:r>
      <w:r w:rsidR="00600BFB">
        <w:t xml:space="preserve">These timeframes have been chosen as indicative of the time frames within which different technology types may be able to commit (intermediate plant within four hours and slow start plant within 12 hours). </w:t>
      </w:r>
    </w:p>
    <w:p w:rsidR="00977DC4" w:rsidRPr="00D70101" w:rsidRDefault="00F618E2" w:rsidP="00F618E2">
      <w:pPr>
        <w:pStyle w:val="AERbodytext"/>
      </w:pPr>
      <w:r>
        <w:t xml:space="preserve">There were </w:t>
      </w:r>
      <w:r w:rsidR="00537009">
        <w:t>133</w:t>
      </w:r>
      <w:r>
        <w:t xml:space="preserve"> trading intervals throughout the week where actual prices varied significantly from forecasts. This compares to the weekly average in 2012 of 60 counts and the average in 2011 of 78</w:t>
      </w:r>
      <w:r w:rsidR="009559D6" w:rsidRPr="00D70101">
        <w:t>. Reasons for the</w:t>
      </w:r>
      <w:r w:rsidR="00DF5554" w:rsidRPr="00D70101">
        <w:t xml:space="preserve"> variations for this week </w:t>
      </w:r>
      <w:r w:rsidR="009559D6" w:rsidRPr="00D70101">
        <w:t xml:space="preserve">are summarised in </w:t>
      </w:r>
      <w:r w:rsidR="000D5C60" w:rsidRPr="00D70101">
        <w:t xml:space="preserve">Table </w:t>
      </w:r>
      <w:r w:rsidR="00E27C7A" w:rsidRPr="00D70101">
        <w:t>2</w:t>
      </w:r>
      <w:r w:rsidR="009559D6" w:rsidRPr="00D70101">
        <w:t>.</w:t>
      </w:r>
      <w:r w:rsidR="00B71EC1" w:rsidRPr="00D70101">
        <w:t xml:space="preserve"> </w:t>
      </w:r>
      <w:r w:rsidR="000E6CF1" w:rsidRPr="00D70101">
        <w:t>Based on AER analysis, t</w:t>
      </w:r>
      <w:r w:rsidR="00B71EC1" w:rsidRPr="00D70101">
        <w:t>he table</w:t>
      </w:r>
      <w:r w:rsidR="00B71EC1"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B71EC1">
        <w:t>ahead</w:t>
      </w:r>
      <w:proofErr w:type="gramEnd"/>
      <w:r w:rsidR="00B71EC1" w:rsidRPr="00B71EC1">
        <w:t xml:space="preserve"> </w:t>
      </w:r>
      <w:r w:rsidR="00B71EC1" w:rsidRPr="00D70101">
        <w:t>forecasts differ significantly from the actual price will be counted as two variations.</w:t>
      </w:r>
    </w:p>
    <w:p w:rsidR="00977DC4" w:rsidRPr="00155A20" w:rsidRDefault="008D0835" w:rsidP="00977DC4">
      <w:pPr>
        <w:pStyle w:val="AERtabletitle"/>
      </w:pPr>
      <w:r w:rsidRPr="00155A20">
        <w:t xml:space="preserve">Table </w:t>
      </w:r>
      <w:r w:rsidR="00965EA9" w:rsidRPr="00155A20">
        <w:t>2</w:t>
      </w:r>
      <w:r w:rsidR="00792C39" w:rsidRPr="00155A20">
        <w:t>: Reasons for variations between forecast and actual prices</w:t>
      </w:r>
    </w:p>
    <w:tbl>
      <w:tblPr>
        <w:tblW w:w="8647" w:type="dxa"/>
        <w:tblInd w:w="108"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2127"/>
        <w:gridCol w:w="1842"/>
        <w:gridCol w:w="1418"/>
        <w:gridCol w:w="1843"/>
        <w:gridCol w:w="1417"/>
      </w:tblGrid>
      <w:tr w:rsidR="00155A20" w:rsidRPr="00155A20" w:rsidTr="00CA5F6C">
        <w:trPr>
          <w:trHeight w:hRule="exact" w:val="454"/>
        </w:trPr>
        <w:tc>
          <w:tcPr>
            <w:tcW w:w="2127" w:type="dxa"/>
            <w:shd w:val="clear" w:color="auto" w:fill="4A442A" w:themeFill="background2" w:themeFillShade="40"/>
            <w:noWrap/>
          </w:tcPr>
          <w:p w:rsidR="008D0835" w:rsidRPr="00CA5F6C" w:rsidRDefault="00D96C94" w:rsidP="00D96C94">
            <w:pPr>
              <w:pStyle w:val="AERtabletextheading"/>
              <w:jc w:val="center"/>
              <w:rPr>
                <w:bCs/>
                <w:color w:val="FFFFFF" w:themeColor="background1"/>
                <w:sz w:val="18"/>
              </w:rPr>
            </w:pPr>
            <w:r w:rsidRPr="00CA5F6C">
              <w:rPr>
                <w:bCs/>
                <w:color w:val="FFFFFF" w:themeColor="background1"/>
                <w:sz w:val="18"/>
              </w:rPr>
              <w:t>Reason for variation</w:t>
            </w:r>
          </w:p>
        </w:tc>
        <w:tc>
          <w:tcPr>
            <w:tcW w:w="1842"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Availability</w:t>
            </w:r>
          </w:p>
        </w:tc>
        <w:tc>
          <w:tcPr>
            <w:tcW w:w="1418"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Demand</w:t>
            </w:r>
          </w:p>
        </w:tc>
        <w:tc>
          <w:tcPr>
            <w:tcW w:w="1843" w:type="dxa"/>
            <w:shd w:val="clear" w:color="auto" w:fill="4A442A" w:themeFill="background2" w:themeFillShade="40"/>
            <w:noWrap/>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Network</w:t>
            </w:r>
          </w:p>
        </w:tc>
        <w:tc>
          <w:tcPr>
            <w:tcW w:w="1417" w:type="dxa"/>
            <w:shd w:val="clear" w:color="auto" w:fill="4A442A" w:themeFill="background2" w:themeFillShade="40"/>
          </w:tcPr>
          <w:p w:rsidR="008D0835" w:rsidRPr="00CA5F6C" w:rsidRDefault="008D0835" w:rsidP="008D0835">
            <w:pPr>
              <w:pStyle w:val="AERtabletextheading"/>
              <w:jc w:val="center"/>
              <w:rPr>
                <w:bCs/>
                <w:color w:val="FFFFFF" w:themeColor="background1"/>
                <w:sz w:val="18"/>
              </w:rPr>
            </w:pPr>
            <w:r w:rsidRPr="00CA5F6C">
              <w:rPr>
                <w:bCs/>
                <w:color w:val="FFFFFF" w:themeColor="background1"/>
                <w:sz w:val="18"/>
              </w:rPr>
              <w:t>Combination</w:t>
            </w:r>
          </w:p>
        </w:tc>
      </w:tr>
      <w:tr w:rsidR="00537009" w:rsidRPr="00155A20" w:rsidTr="00CA5F6C">
        <w:trPr>
          <w:trHeight w:hRule="exact" w:val="454"/>
        </w:trPr>
        <w:tc>
          <w:tcPr>
            <w:tcW w:w="2127" w:type="dxa"/>
            <w:tcBorders>
              <w:bottom w:val="nil"/>
            </w:tcBorders>
            <w:shd w:val="clear" w:color="auto" w:fill="DDD9C3" w:themeFill="background2" w:themeFillShade="E6"/>
            <w:noWrap/>
            <w:vAlign w:val="center"/>
          </w:tcPr>
          <w:p w:rsidR="00537009" w:rsidRPr="00155A20" w:rsidRDefault="00537009">
            <w:pPr>
              <w:pStyle w:val="AERtabletext"/>
              <w:spacing w:before="60" w:after="60"/>
              <w:rPr>
                <w:b/>
                <w:bCs/>
              </w:rPr>
            </w:pPr>
            <w:r w:rsidRPr="00155A20">
              <w:rPr>
                <w:b/>
                <w:bCs/>
              </w:rPr>
              <w:t>% of total above forecast</w:t>
            </w:r>
          </w:p>
        </w:tc>
        <w:tc>
          <w:tcPr>
            <w:tcW w:w="1842" w:type="dxa"/>
            <w:tcBorders>
              <w:bottom w:val="nil"/>
            </w:tcBorders>
            <w:shd w:val="clear" w:color="auto" w:fill="DDD9C3" w:themeFill="background2" w:themeFillShade="E6"/>
            <w:noWrap/>
            <w:vAlign w:val="center"/>
          </w:tcPr>
          <w:p w:rsidR="00537009" w:rsidRDefault="00537009">
            <w:pPr>
              <w:jc w:val="center"/>
              <w:rPr>
                <w:rFonts w:cs="Gautami"/>
                <w:sz w:val="16"/>
                <w:szCs w:val="16"/>
              </w:rPr>
            </w:pPr>
            <w:r>
              <w:rPr>
                <w:rFonts w:cs="Gautami"/>
                <w:sz w:val="16"/>
                <w:szCs w:val="16"/>
              </w:rPr>
              <w:t>0</w:t>
            </w:r>
          </w:p>
        </w:tc>
        <w:tc>
          <w:tcPr>
            <w:tcW w:w="1418" w:type="dxa"/>
            <w:tcBorders>
              <w:bottom w:val="nil"/>
            </w:tcBorders>
            <w:shd w:val="clear" w:color="auto" w:fill="DDD9C3" w:themeFill="background2" w:themeFillShade="E6"/>
            <w:noWrap/>
            <w:vAlign w:val="center"/>
          </w:tcPr>
          <w:p w:rsidR="00537009" w:rsidRDefault="00537009">
            <w:pPr>
              <w:jc w:val="center"/>
              <w:rPr>
                <w:rFonts w:cs="Gautami"/>
                <w:sz w:val="16"/>
                <w:szCs w:val="16"/>
              </w:rPr>
            </w:pPr>
            <w:r>
              <w:rPr>
                <w:rFonts w:cs="Gautami"/>
                <w:sz w:val="16"/>
                <w:szCs w:val="16"/>
              </w:rPr>
              <w:t>14</w:t>
            </w:r>
          </w:p>
        </w:tc>
        <w:tc>
          <w:tcPr>
            <w:tcW w:w="1843" w:type="dxa"/>
            <w:tcBorders>
              <w:bottom w:val="nil"/>
            </w:tcBorders>
            <w:shd w:val="clear" w:color="auto" w:fill="DDD9C3" w:themeFill="background2" w:themeFillShade="E6"/>
            <w:noWrap/>
            <w:vAlign w:val="center"/>
          </w:tcPr>
          <w:p w:rsidR="00537009" w:rsidRDefault="00537009">
            <w:pPr>
              <w:jc w:val="center"/>
              <w:rPr>
                <w:rFonts w:cs="Gautami"/>
                <w:sz w:val="16"/>
                <w:szCs w:val="16"/>
              </w:rPr>
            </w:pPr>
            <w:r>
              <w:rPr>
                <w:rFonts w:cs="Gautami"/>
                <w:sz w:val="16"/>
                <w:szCs w:val="16"/>
              </w:rPr>
              <w:t>0</w:t>
            </w:r>
          </w:p>
        </w:tc>
        <w:tc>
          <w:tcPr>
            <w:tcW w:w="1417" w:type="dxa"/>
            <w:tcBorders>
              <w:bottom w:val="nil"/>
            </w:tcBorders>
            <w:shd w:val="clear" w:color="auto" w:fill="DDD9C3" w:themeFill="background2" w:themeFillShade="E6"/>
            <w:vAlign w:val="center"/>
          </w:tcPr>
          <w:p w:rsidR="00537009" w:rsidRDefault="00537009">
            <w:pPr>
              <w:jc w:val="center"/>
              <w:rPr>
                <w:rFonts w:cs="Gautami"/>
                <w:sz w:val="16"/>
                <w:szCs w:val="16"/>
              </w:rPr>
            </w:pPr>
            <w:r>
              <w:rPr>
                <w:rFonts w:cs="Gautami"/>
                <w:sz w:val="16"/>
                <w:szCs w:val="16"/>
              </w:rPr>
              <w:t>0</w:t>
            </w:r>
          </w:p>
        </w:tc>
      </w:tr>
      <w:tr w:rsidR="00537009" w:rsidRPr="00155A20" w:rsidTr="00CA5F6C">
        <w:trPr>
          <w:trHeight w:hRule="exact" w:val="454"/>
        </w:trPr>
        <w:tc>
          <w:tcPr>
            <w:tcW w:w="2127" w:type="dxa"/>
            <w:tcBorders>
              <w:top w:val="nil"/>
              <w:bottom w:val="single" w:sz="4" w:space="0" w:color="auto"/>
            </w:tcBorders>
            <w:shd w:val="clear" w:color="auto" w:fill="EEECE1" w:themeFill="background2"/>
            <w:noWrap/>
            <w:vAlign w:val="center"/>
          </w:tcPr>
          <w:p w:rsidR="00537009" w:rsidRPr="00155A20" w:rsidRDefault="00537009">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themeFill="background2"/>
            <w:noWrap/>
            <w:vAlign w:val="center"/>
          </w:tcPr>
          <w:p w:rsidR="00537009" w:rsidRDefault="00537009">
            <w:pPr>
              <w:jc w:val="center"/>
              <w:rPr>
                <w:rFonts w:cs="Gautami"/>
                <w:sz w:val="16"/>
                <w:szCs w:val="16"/>
              </w:rPr>
            </w:pPr>
            <w:r>
              <w:rPr>
                <w:rFonts w:cs="Gautami"/>
                <w:sz w:val="16"/>
                <w:szCs w:val="16"/>
              </w:rPr>
              <w:t>55</w:t>
            </w:r>
          </w:p>
        </w:tc>
        <w:tc>
          <w:tcPr>
            <w:tcW w:w="1418" w:type="dxa"/>
            <w:tcBorders>
              <w:top w:val="nil"/>
              <w:bottom w:val="single" w:sz="4" w:space="0" w:color="auto"/>
            </w:tcBorders>
            <w:shd w:val="clear" w:color="auto" w:fill="EEECE1" w:themeFill="background2"/>
            <w:noWrap/>
            <w:vAlign w:val="center"/>
          </w:tcPr>
          <w:p w:rsidR="00537009" w:rsidRDefault="00537009">
            <w:pPr>
              <w:jc w:val="center"/>
              <w:rPr>
                <w:rFonts w:cs="Gautami"/>
                <w:sz w:val="16"/>
                <w:szCs w:val="16"/>
              </w:rPr>
            </w:pPr>
            <w:r>
              <w:rPr>
                <w:rFonts w:cs="Gautami"/>
                <w:sz w:val="16"/>
                <w:szCs w:val="16"/>
              </w:rPr>
              <w:t>27</w:t>
            </w:r>
          </w:p>
        </w:tc>
        <w:tc>
          <w:tcPr>
            <w:tcW w:w="1843" w:type="dxa"/>
            <w:tcBorders>
              <w:top w:val="nil"/>
              <w:bottom w:val="single" w:sz="4" w:space="0" w:color="auto"/>
            </w:tcBorders>
            <w:shd w:val="clear" w:color="auto" w:fill="EEECE1" w:themeFill="background2"/>
            <w:noWrap/>
            <w:vAlign w:val="center"/>
          </w:tcPr>
          <w:p w:rsidR="00537009" w:rsidRDefault="00537009">
            <w:pPr>
              <w:jc w:val="center"/>
              <w:rPr>
                <w:rFonts w:cs="Gautami"/>
                <w:sz w:val="16"/>
                <w:szCs w:val="16"/>
              </w:rPr>
            </w:pPr>
            <w:r>
              <w:rPr>
                <w:rFonts w:cs="Gautami"/>
                <w:sz w:val="16"/>
                <w:szCs w:val="16"/>
              </w:rPr>
              <w:t>0</w:t>
            </w:r>
          </w:p>
        </w:tc>
        <w:tc>
          <w:tcPr>
            <w:tcW w:w="1417" w:type="dxa"/>
            <w:tcBorders>
              <w:top w:val="nil"/>
              <w:bottom w:val="single" w:sz="4" w:space="0" w:color="auto"/>
            </w:tcBorders>
            <w:shd w:val="clear" w:color="auto" w:fill="EEECE1" w:themeFill="background2"/>
            <w:vAlign w:val="center"/>
          </w:tcPr>
          <w:p w:rsidR="00537009" w:rsidRDefault="00537009">
            <w:pPr>
              <w:jc w:val="center"/>
              <w:rPr>
                <w:rFonts w:cs="Gautami"/>
                <w:sz w:val="16"/>
                <w:szCs w:val="16"/>
              </w:rPr>
            </w:pPr>
            <w:r>
              <w:rPr>
                <w:rFonts w:cs="Gautami"/>
                <w:sz w:val="16"/>
                <w:szCs w:val="16"/>
              </w:rPr>
              <w:t>4</w:t>
            </w:r>
          </w:p>
        </w:tc>
      </w:tr>
    </w:tbl>
    <w:p w:rsidR="00FF7110" w:rsidRPr="00D70101" w:rsidRDefault="00FF7110" w:rsidP="00FF7110">
      <w:pPr>
        <w:pStyle w:val="AERbodytext"/>
        <w:spacing w:before="120" w:after="120"/>
        <w:rPr>
          <w:sz w:val="16"/>
          <w:szCs w:val="16"/>
        </w:rPr>
      </w:pPr>
      <w:r w:rsidRPr="00D70101">
        <w:rPr>
          <w:sz w:val="16"/>
          <w:szCs w:val="16"/>
        </w:rPr>
        <w:t>Note: Due to rounding, the total may not be exactly 100 per cent</w:t>
      </w:r>
    </w:p>
    <w:p w:rsidR="00977DC4" w:rsidRDefault="00D96C94" w:rsidP="00BD4E2C">
      <w:pPr>
        <w:pStyle w:val="Heading2"/>
      </w:pPr>
      <w:r>
        <w:t xml:space="preserve">Generation </w:t>
      </w:r>
      <w:r w:rsidR="00721BA4">
        <w:t>and bidding patterns</w:t>
      </w:r>
    </w:p>
    <w:p w:rsidR="00977DC4" w:rsidRDefault="007E6DC8" w:rsidP="00977DC4">
      <w:pPr>
        <w:pStyle w:val="AERbodytext"/>
        <w:spacing w:before="120"/>
      </w:pPr>
      <w:r>
        <w:t xml:space="preserve">The AER reviews generator bidding as part of its market monitoring to better understand the drivers behind price variations. </w:t>
      </w:r>
      <w:r w:rsidR="000D5C60">
        <w:t xml:space="preserve">Figures </w:t>
      </w:r>
      <w:r w:rsidR="00E27C7A">
        <w:t>2</w:t>
      </w:r>
      <w:r w:rsidR="000D5C60">
        <w:t xml:space="preserve"> to </w:t>
      </w:r>
      <w:r w:rsidR="00E27C7A">
        <w:t>6</w:t>
      </w:r>
      <w:r w:rsidR="0048688D">
        <w:t xml:space="preserve"> </w:t>
      </w:r>
      <w:r w:rsidR="000D5C60">
        <w:t xml:space="preserve">show, the </w:t>
      </w:r>
      <w:r w:rsidR="00A92F2B">
        <w:t xml:space="preserve">total generation </w:t>
      </w:r>
      <w:r w:rsidR="00D71DBA">
        <w:t xml:space="preserve">dispatched </w:t>
      </w:r>
      <w:r w:rsidR="000D5C60">
        <w:t xml:space="preserve">and the amounts of capacity </w:t>
      </w:r>
      <w:r w:rsidR="00E970B3">
        <w:t>offered</w:t>
      </w:r>
      <w:r w:rsidR="000D5C60">
        <w:t xml:space="preserve"> within certain price bands</w:t>
      </w:r>
      <w:r w:rsidR="00D71DBA">
        <w:t xml:space="preserve"> for each 30 minute trading interval</w:t>
      </w:r>
      <w:r w:rsidR="00E970B3">
        <w:t xml:space="preserve"> in each region</w:t>
      </w:r>
      <w:r w:rsidR="000D5C60">
        <w:t>.</w:t>
      </w:r>
      <w:r w:rsidR="00EB2877">
        <w:t xml:space="preserve"> </w:t>
      </w:r>
    </w:p>
    <w:p w:rsidR="00F4461C" w:rsidRDefault="00F4461C" w:rsidP="00F4461C">
      <w:pPr>
        <w:pStyle w:val="Figureheading"/>
        <w:numPr>
          <w:ilvl w:val="0"/>
          <w:numId w:val="0"/>
        </w:numPr>
        <w:ind w:left="357" w:hanging="357"/>
      </w:pPr>
      <w:r w:rsidRPr="0030575B">
        <w:t>Figure 2: Queensland generation and bidding patterns</w:t>
      </w:r>
    </w:p>
    <w:p w:rsidR="00785F23" w:rsidRPr="00785F23" w:rsidRDefault="00E73C34" w:rsidP="00785F23">
      <w:pPr>
        <w:pStyle w:val="AERbodytext"/>
      </w:pPr>
      <w:r>
        <w:pict>
          <v:shape id="_x0000_i1028" type="#_x0000_t75" alt="Figure 2 shows the total generation dispatched and the amounts of capacity bid in within certain price bands for each 30 minute trading interval in Queensland this week.&#10;Should you require a description of the data for the week under review, please email us at AERInquiry@aer.gov.au.&#10;" style="width:450.45pt;height:307.6pt">
            <v:imagedata r:id="rId12" o:title=""/>
          </v:shape>
        </w:pict>
      </w:r>
    </w:p>
    <w:p w:rsidR="00F4461C" w:rsidRPr="0030575B" w:rsidRDefault="00F4461C" w:rsidP="00F4461C">
      <w:pPr>
        <w:pStyle w:val="AERbodytext"/>
        <w:spacing w:after="120"/>
      </w:pPr>
    </w:p>
    <w:p w:rsidR="00F4461C" w:rsidRDefault="00F4461C" w:rsidP="00F4461C">
      <w:pPr>
        <w:pStyle w:val="Figureheading"/>
        <w:numPr>
          <w:ilvl w:val="0"/>
          <w:numId w:val="0"/>
        </w:numPr>
        <w:ind w:left="357" w:hanging="357"/>
      </w:pPr>
      <w:r w:rsidRPr="0030575B">
        <w:t>Figure 3: New South Wales generation and bidding patterns</w:t>
      </w:r>
    </w:p>
    <w:p w:rsidR="00785F23" w:rsidRPr="00785F23" w:rsidRDefault="00E73C34" w:rsidP="00785F23">
      <w:pPr>
        <w:pStyle w:val="AERbodytext"/>
      </w:pPr>
      <w:r>
        <w:pict>
          <v:shape id="_x0000_i1029" type="#_x0000_t75" alt="Figure 3 shows the total generation dispatched and the amounts of capacity bid in within certain price bands for each 30 minute trading interval in New South Wales this week.&#10;Should you require a description of the data for the week under review, please email us at AERInquiry@aer.gov.au." style="width:450.45pt;height:307.6pt">
            <v:imagedata r:id="rId13" o:title=""/>
          </v:shape>
        </w:pict>
      </w:r>
    </w:p>
    <w:p w:rsidR="00F4461C" w:rsidRDefault="00F4461C" w:rsidP="00F4461C">
      <w:pPr>
        <w:pStyle w:val="Figureheading"/>
        <w:numPr>
          <w:ilvl w:val="0"/>
          <w:numId w:val="0"/>
        </w:numPr>
        <w:ind w:left="357" w:hanging="357"/>
      </w:pPr>
      <w:r w:rsidRPr="0030575B">
        <w:t xml:space="preserve">Figure </w:t>
      </w:r>
      <w:r w:rsidR="00261A37" w:rsidRPr="0030575B">
        <w:t>4</w:t>
      </w:r>
      <w:r w:rsidRPr="0030575B">
        <w:t>: Victoria generation and bidding patterns</w:t>
      </w:r>
    </w:p>
    <w:p w:rsidR="00785F23" w:rsidRPr="00785F23" w:rsidRDefault="00E73C34" w:rsidP="00785F23">
      <w:pPr>
        <w:pStyle w:val="AERbodytext"/>
      </w:pPr>
      <w:r>
        <w:pict>
          <v:shape id="_x0000_i1030" type="#_x0000_t75" alt="Figure 4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0.45pt;height:307.6pt">
            <v:imagedata r:id="rId14" o:title=""/>
          </v:shape>
        </w:pict>
      </w:r>
    </w:p>
    <w:p w:rsidR="00C52BE5" w:rsidRPr="0030575B" w:rsidRDefault="00C52BE5" w:rsidP="00C52BE5">
      <w:pPr>
        <w:pStyle w:val="Figureheading"/>
        <w:numPr>
          <w:ilvl w:val="0"/>
          <w:numId w:val="0"/>
        </w:numPr>
        <w:ind w:left="357" w:hanging="357"/>
      </w:pPr>
      <w:r w:rsidRPr="0030575B">
        <w:t xml:space="preserve">Figure </w:t>
      </w:r>
      <w:r w:rsidR="00261A37" w:rsidRPr="0030575B">
        <w:t>5</w:t>
      </w:r>
      <w:r w:rsidRPr="0030575B">
        <w:t>: South Australia</w:t>
      </w:r>
      <w:r w:rsidR="00D96C94" w:rsidRPr="0030575B">
        <w:t xml:space="preserve"> generation and bidding patterns</w:t>
      </w:r>
    </w:p>
    <w:p w:rsidR="00B027E9" w:rsidRPr="0020746B" w:rsidRDefault="00E73C34">
      <w:pPr>
        <w:pStyle w:val="AERbodytext"/>
        <w:spacing w:after="120"/>
      </w:pPr>
      <w:r>
        <w:pict>
          <v:shape id="_x0000_i1031" type="#_x0000_t75" alt="Figure 5 shows the total generation dispatched and the amounts of capacity bid in within certain price bands for each 30 minute trading interval in South Australia this week.&#10;Should you require a description of the data for the week under review, please email us at AERInquiry@aer.gov.au.   &#10;" style="width:450.45pt;height:308.15pt">
            <v:imagedata r:id="rId15" o:title=""/>
          </v:shape>
        </w:pict>
      </w:r>
    </w:p>
    <w:p w:rsidR="0048688D" w:rsidRPr="0030575B" w:rsidRDefault="0048688D" w:rsidP="0048688D">
      <w:pPr>
        <w:pStyle w:val="Figureheading"/>
        <w:numPr>
          <w:ilvl w:val="0"/>
          <w:numId w:val="0"/>
        </w:numPr>
        <w:ind w:left="357" w:hanging="357"/>
      </w:pPr>
      <w:r w:rsidRPr="0030575B">
        <w:t xml:space="preserve">Figure </w:t>
      </w:r>
      <w:r w:rsidR="00E27C7A" w:rsidRPr="0030575B">
        <w:t>6</w:t>
      </w:r>
      <w:r w:rsidRPr="0030575B">
        <w:t>: Tasmania</w:t>
      </w:r>
      <w:r w:rsidR="00D96C94" w:rsidRPr="0030575B">
        <w:t xml:space="preserve"> generation and bidding patterns</w:t>
      </w:r>
    </w:p>
    <w:p w:rsidR="00B027E9" w:rsidRDefault="00E73C34">
      <w:pPr>
        <w:pStyle w:val="AERbodytext"/>
        <w:spacing w:after="120"/>
      </w:pPr>
      <w:r>
        <w:pict>
          <v:shape id="_x0000_i1032" type="#_x0000_t75" alt="Figure 6 shows the total generation dispatched and the amounts of capacity bid in within certain price bands for each 30 minute trading interval in Tasmania this week.&#10;Should you require a description of the data for the week under review, please email us at AERInquiry@aer.gov.au.   &#10;" style="width:450.45pt;height:307.6pt;mso-position-vertical:absolute">
            <v:imagedata r:id="rId16" o:title=""/>
          </v:shape>
        </w:pict>
      </w:r>
    </w:p>
    <w:p w:rsidR="00977DC4" w:rsidRDefault="0020746B" w:rsidP="00BD4E2C">
      <w:pPr>
        <w:pStyle w:val="Heading2"/>
      </w:pPr>
      <w:r>
        <w:br w:type="page"/>
      </w:r>
      <w:r w:rsidR="000125FD">
        <w:t>Frequency control a</w:t>
      </w:r>
      <w:r w:rsidR="00221B68">
        <w:t>ncillary services market</w:t>
      </w:r>
      <w:r w:rsidR="000125FD">
        <w:t>s</w:t>
      </w:r>
    </w:p>
    <w:p w:rsidR="00733916" w:rsidRDefault="0026403E" w:rsidP="0026403E">
      <w:pPr>
        <w:pStyle w:val="AERbodytext"/>
      </w:pPr>
      <w:r>
        <w:t xml:space="preserve">Frequency control ancillary services (FCAS) are required to maintain the frequency of the power system within the frequency operating standards. </w:t>
      </w:r>
      <w:r w:rsidR="00733916">
        <w:t>Raise and lower r</w:t>
      </w:r>
      <w:r>
        <w:t xml:space="preserve">egulation services are used to address small </w:t>
      </w:r>
      <w:r w:rsidR="000722C8">
        <w:t>fluctuations</w:t>
      </w:r>
      <w:r>
        <w:t xml:space="preserve"> in frequency, </w:t>
      </w:r>
      <w:r w:rsidR="00E970B3">
        <w:t xml:space="preserve">while </w:t>
      </w:r>
      <w:r w:rsidR="00733916">
        <w:t xml:space="preserve">raise and lower </w:t>
      </w:r>
      <w:r>
        <w:t xml:space="preserve">contingency services are used to address larger </w:t>
      </w:r>
      <w:r w:rsidR="00733916">
        <w:t xml:space="preserve">frequency deviations. There are six contingency services: </w:t>
      </w:r>
    </w:p>
    <w:p w:rsidR="00733916" w:rsidRDefault="00733916" w:rsidP="00733916">
      <w:pPr>
        <w:pStyle w:val="Listbullet1"/>
      </w:pPr>
      <w:r w:rsidRPr="00733916">
        <w:rPr>
          <w:i/>
        </w:rPr>
        <w:t>fast services</w:t>
      </w:r>
      <w:r>
        <w:t>, which arrest a frequency deviation within the first 6 seconds of a contingent event (raise and lower 6</w:t>
      </w:r>
      <w:r w:rsidR="00715ED6">
        <w:t> </w:t>
      </w:r>
      <w:r>
        <w:t>sec</w:t>
      </w:r>
      <w:r w:rsidR="00715ED6">
        <w:t>ond</w:t>
      </w:r>
      <w:r>
        <w:t>)</w:t>
      </w:r>
    </w:p>
    <w:p w:rsidR="00733916" w:rsidRDefault="00733916" w:rsidP="00733916">
      <w:pPr>
        <w:pStyle w:val="Listbullet1"/>
      </w:pPr>
      <w:r w:rsidRPr="00733916">
        <w:rPr>
          <w:i/>
        </w:rPr>
        <w:t>slow services</w:t>
      </w:r>
      <w:r>
        <w:t>, which stabilise frequency deviations within 60 seconds of the event (raise and lower 60</w:t>
      </w:r>
      <w:r w:rsidR="00715ED6">
        <w:t> </w:t>
      </w:r>
      <w:r>
        <w:t>sec</w:t>
      </w:r>
      <w:r w:rsidR="00715ED6">
        <w:t>ond</w:t>
      </w:r>
      <w:r>
        <w:t>)</w:t>
      </w:r>
    </w:p>
    <w:p w:rsidR="0026403E" w:rsidRDefault="00733916" w:rsidP="00733916">
      <w:pPr>
        <w:pStyle w:val="Listbullet1"/>
      </w:pPr>
      <w:proofErr w:type="gramStart"/>
      <w:r w:rsidRPr="00B61C11">
        <w:rPr>
          <w:i/>
        </w:rPr>
        <w:t>delayed</w:t>
      </w:r>
      <w:proofErr w:type="gramEnd"/>
      <w:r w:rsidRPr="00B61C11">
        <w:rPr>
          <w:i/>
        </w:rPr>
        <w:t xml:space="preserve"> services</w:t>
      </w:r>
      <w:r>
        <w:t>, which return the frequency to the normal operating band within 5 minutes (raise and lower 5</w:t>
      </w:r>
      <w:r w:rsidR="00715ED6">
        <w:t xml:space="preserve"> </w:t>
      </w:r>
      <w:r>
        <w:t>min</w:t>
      </w:r>
      <w:r w:rsidR="00715ED6">
        <w:t>ute</w:t>
      </w:r>
      <w:r>
        <w:t>)</w:t>
      </w:r>
      <w:r w:rsidR="00B032DD">
        <w:t xml:space="preserve"> at which </w:t>
      </w:r>
      <w:r w:rsidR="00715ED6">
        <w:t xml:space="preserve">time the </w:t>
      </w:r>
      <w:r w:rsidR="00753DF7">
        <w:t xml:space="preserve">five minute </w:t>
      </w:r>
      <w:r w:rsidR="00715ED6">
        <w:t xml:space="preserve">dispatch process will take </w:t>
      </w:r>
      <w:r w:rsidR="00753DF7">
        <w:t>effect.</w:t>
      </w:r>
    </w:p>
    <w:p w:rsidR="00F11D5A" w:rsidRDefault="00475DAA" w:rsidP="00F11D5A">
      <w:pPr>
        <w:pStyle w:val="AERbodytext"/>
      </w:pPr>
      <w:r>
        <w:t>T</w:t>
      </w:r>
      <w:r w:rsidR="00F11D5A">
        <w:t>he Electricity Rules stipulate that generators pay for raise contingency services</w:t>
      </w:r>
      <w:r>
        <w:t xml:space="preserve"> and customers pay for lower contingency services.</w:t>
      </w:r>
      <w:r w:rsidR="00F13747">
        <w:t xml:space="preserve"> Regulation services are paid for on a “causer pays” basis determined </w:t>
      </w:r>
      <w:r w:rsidR="00E970B3">
        <w:t xml:space="preserve">every </w:t>
      </w:r>
      <w:r w:rsidR="00F13747">
        <w:t>four weeks by AEMO.</w:t>
      </w:r>
    </w:p>
    <w:p w:rsidR="008F05E6" w:rsidRPr="00021E37" w:rsidRDefault="00F618E2" w:rsidP="00021E37">
      <w:pPr>
        <w:pStyle w:val="AERbodytext"/>
      </w:pPr>
      <w:r w:rsidRPr="00F618E2">
        <w:t>The total cost of FCAS on the mainland for the week was $</w:t>
      </w:r>
      <w:r w:rsidR="00537009">
        <w:t>181</w:t>
      </w:r>
      <w:r w:rsidR="00F436F8">
        <w:t> </w:t>
      </w:r>
      <w:r w:rsidR="007F4B7A">
        <w:t>0</w:t>
      </w:r>
      <w:r w:rsidR="001B08F0">
        <w:t>00</w:t>
      </w:r>
      <w:r w:rsidRPr="00F618E2">
        <w:t xml:space="preserve"> or less than 1 per cent of energy turnover on the</w:t>
      </w:r>
      <w:r>
        <w:t xml:space="preserve"> mainland</w:t>
      </w:r>
      <w:r w:rsidR="00221B68" w:rsidRPr="00021E37">
        <w:t xml:space="preserve">. </w:t>
      </w:r>
      <w:r w:rsidR="00753DF7" w:rsidRPr="00021E37">
        <w:t xml:space="preserve">In </w:t>
      </w:r>
      <w:r w:rsidR="00221B68" w:rsidRPr="00021E37">
        <w:t xml:space="preserve">Tasmania </w:t>
      </w:r>
      <w:r w:rsidR="00753DF7" w:rsidRPr="00021E37">
        <w:t xml:space="preserve">(which requires dedicated services for much of the time) the total cost </w:t>
      </w:r>
      <w:r w:rsidR="00221B68" w:rsidRPr="00021E37">
        <w:t>for the week was $</w:t>
      </w:r>
      <w:r w:rsidR="00537009">
        <w:t>38</w:t>
      </w:r>
      <w:r w:rsidR="00221B68" w:rsidRPr="00021E37">
        <w:t> </w:t>
      </w:r>
      <w:r w:rsidR="00537009">
        <w:t>0</w:t>
      </w:r>
      <w:r w:rsidR="00221B68" w:rsidRPr="00021E37">
        <w:t xml:space="preserve">00 or </w:t>
      </w:r>
      <w:r w:rsidR="00537009">
        <w:t xml:space="preserve">less than </w:t>
      </w:r>
      <w:r w:rsidR="00DD7812">
        <w:t>1</w:t>
      </w:r>
      <w:r w:rsidR="008245F0" w:rsidRPr="00021E37">
        <w:t xml:space="preserve"> </w:t>
      </w:r>
      <w:r w:rsidR="00221B68" w:rsidRPr="00021E37">
        <w:t>per cent of energy turnover in Tasmania</w:t>
      </w:r>
      <w:r w:rsidR="008F05E6" w:rsidRPr="00021E37">
        <w:t xml:space="preserve">. </w:t>
      </w:r>
    </w:p>
    <w:p w:rsidR="00977DC4" w:rsidRPr="008245F0" w:rsidRDefault="00221B68" w:rsidP="00977DC4">
      <w:pPr>
        <w:pStyle w:val="AERbodytext"/>
      </w:pPr>
      <w:r w:rsidRPr="0030575B">
        <w:t xml:space="preserve">Figure </w:t>
      </w:r>
      <w:r w:rsidR="00E27C7A" w:rsidRPr="0030575B">
        <w:t>7</w:t>
      </w:r>
      <w:r w:rsidR="0048688D" w:rsidRPr="0030575B">
        <w:t xml:space="preserve"> </w:t>
      </w:r>
      <w:r w:rsidRPr="0030575B">
        <w:t>shows the daily breakdown of cost</w:t>
      </w:r>
      <w:r w:rsidR="00E970B3" w:rsidRPr="0030575B">
        <w:t>s</w:t>
      </w:r>
      <w:r w:rsidRPr="0030575B">
        <w:t xml:space="preserve"> for each</w:t>
      </w:r>
      <w:r w:rsidRPr="008245F0">
        <w:t xml:space="preserve"> </w:t>
      </w:r>
      <w:r w:rsidR="00E970B3">
        <w:t>service</w:t>
      </w:r>
      <w:r w:rsidR="00453CD8" w:rsidRPr="008245F0">
        <w:t xml:space="preserve">, as well as the average </w:t>
      </w:r>
      <w:r w:rsidR="00F13747">
        <w:t xml:space="preserve">daily </w:t>
      </w:r>
      <w:r w:rsidR="00453CD8" w:rsidRPr="008245F0">
        <w:t>cost</w:t>
      </w:r>
      <w:r w:rsidR="00E970B3">
        <w:t>s</w:t>
      </w:r>
      <w:r w:rsidR="00453CD8" w:rsidRPr="008245F0">
        <w:t xml:space="preserve"> </w:t>
      </w:r>
      <w:r w:rsidR="000125FD" w:rsidRPr="008245F0">
        <w:t xml:space="preserve">for the </w:t>
      </w:r>
      <w:r w:rsidR="00BD3C77" w:rsidRPr="008245F0">
        <w:t>previous financial year</w:t>
      </w:r>
      <w:r w:rsidRPr="008245F0">
        <w:t>.</w:t>
      </w:r>
      <w:r w:rsidR="0026403E" w:rsidRPr="008245F0">
        <w:t xml:space="preserve"> </w:t>
      </w:r>
    </w:p>
    <w:p w:rsidR="00977DC4" w:rsidRDefault="00977DC4" w:rsidP="00977DC4">
      <w:pPr>
        <w:pStyle w:val="Figureheading"/>
        <w:numPr>
          <w:ilvl w:val="0"/>
          <w:numId w:val="0"/>
        </w:numPr>
        <w:ind w:left="357" w:hanging="357"/>
      </w:pPr>
      <w:r w:rsidRPr="0030575B">
        <w:t xml:space="preserve">Figure </w:t>
      </w:r>
      <w:r w:rsidR="00E27C7A" w:rsidRPr="0030575B">
        <w:t>7</w:t>
      </w:r>
      <w:r w:rsidRPr="0030575B">
        <w:t>: Daily frequency control ancillary service cost</w:t>
      </w:r>
    </w:p>
    <w:p w:rsidR="00235171" w:rsidRPr="00235171" w:rsidRDefault="00E73C34" w:rsidP="00235171">
      <w:pPr>
        <w:pStyle w:val="AERbodytext"/>
      </w:pPr>
      <w:r>
        <w:pict>
          <v:shape id="_x0000_i1033" type="#_x0000_t75" alt="Figure 7 shows the daily breakdown of cost for each FCAS for the NEM, as well as the average cost since the beginning of the previous financial year.&#10;Should you require a description of the data for the week under review, please email us at  AERInquiry@aer.gov.au.        &#10;        &#10;        &#10;        &#10;" style="width:450.45pt;height:224.65pt">
            <v:imagedata r:id="rId17" o:title=""/>
          </v:shape>
        </w:pict>
      </w:r>
    </w:p>
    <w:bookmarkEnd w:id="0"/>
    <w:bookmarkEnd w:id="1"/>
    <w:bookmarkEnd w:id="2"/>
    <w:bookmarkEnd w:id="3"/>
    <w:bookmarkEnd w:id="4"/>
    <w:bookmarkEnd w:id="5"/>
    <w:p w:rsidR="003A4158" w:rsidRDefault="003A4158" w:rsidP="003A4158">
      <w:pPr>
        <w:pStyle w:val="Heading2"/>
      </w:pPr>
      <w:r>
        <w:t>Detailed market analysis of significant price events</w:t>
      </w:r>
    </w:p>
    <w:p w:rsidR="00AC0EAE" w:rsidRPr="00AC0EAE" w:rsidRDefault="003A4158" w:rsidP="002E2095">
      <w:pPr>
        <w:pStyle w:val="AERbodytext"/>
      </w:pPr>
      <w:r>
        <w:t xml:space="preserve">We provide more detailed analysis of events where the spot price was greater than three times the </w:t>
      </w:r>
      <w:r w:rsidRPr="00617793">
        <w:t>weekly average price in a region and above $250/</w:t>
      </w:r>
      <w:proofErr w:type="spellStart"/>
      <w:r w:rsidRPr="00617793">
        <w:t>MWh</w:t>
      </w:r>
      <w:proofErr w:type="spellEnd"/>
      <w:r w:rsidRPr="00617793">
        <w:t xml:space="preserve"> or was below </w:t>
      </w:r>
      <w:r w:rsidRPr="00617793">
        <w:noBreakHyphen/>
        <w:t>$100/</w:t>
      </w:r>
      <w:proofErr w:type="spellStart"/>
      <w:r w:rsidRPr="00617793">
        <w:t>MWh</w:t>
      </w:r>
      <w:proofErr w:type="spellEnd"/>
      <w:r w:rsidRPr="00617793">
        <w:t xml:space="preserve">. </w:t>
      </w:r>
      <w:r w:rsidR="00AC0EAE" w:rsidRPr="00AC0EAE">
        <w:t xml:space="preserve">There was one </w:t>
      </w:r>
      <w:r w:rsidR="00AC0EAE">
        <w:t xml:space="preserve">such </w:t>
      </w:r>
      <w:r w:rsidR="00AC0EAE" w:rsidRPr="00AC0EAE">
        <w:t>occasion</w:t>
      </w:r>
      <w:r w:rsidR="00AC0EAE">
        <w:t xml:space="preserve"> this week,</w:t>
      </w:r>
      <w:r w:rsidR="00AC0EAE" w:rsidRPr="00AC0EAE">
        <w:t xml:space="preserve"> </w:t>
      </w:r>
      <w:r w:rsidR="000063BC">
        <w:t>as set out below.</w:t>
      </w:r>
    </w:p>
    <w:p w:rsidR="003A4158" w:rsidRPr="00470218" w:rsidRDefault="003A4158" w:rsidP="003A4158">
      <w:pPr>
        <w:pStyle w:val="AERtabletitle"/>
      </w:pPr>
      <w:r w:rsidRPr="00470218">
        <w:t xml:space="preserve">Table 3: </w:t>
      </w:r>
      <w:r w:rsidR="00AC0EAE">
        <w:t>Queensland</w:t>
      </w:r>
      <w:r w:rsidRPr="00470218">
        <w:t xml:space="preserve">, </w:t>
      </w:r>
      <w:r w:rsidR="00AC0EAE">
        <w:t>Wednesday</w:t>
      </w:r>
      <w:r w:rsidRPr="00470218">
        <w:t> </w:t>
      </w:r>
      <w:r w:rsidR="00AC0EAE">
        <w:t>28</w:t>
      </w:r>
      <w:r w:rsidR="00DA7B9B">
        <w:t> August</w:t>
      </w:r>
    </w:p>
    <w:tbl>
      <w:tblPr>
        <w:tblW w:w="9072"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802"/>
        <w:gridCol w:w="2090"/>
        <w:gridCol w:w="2090"/>
        <w:gridCol w:w="2090"/>
      </w:tblGrid>
      <w:tr w:rsidR="003A4158" w:rsidRPr="00095C39" w:rsidTr="003A4158">
        <w:tc>
          <w:tcPr>
            <w:tcW w:w="2802" w:type="dxa"/>
            <w:shd w:val="clear" w:color="auto" w:fill="4A442A"/>
            <w:noWrap/>
            <w:vAlign w:val="bottom"/>
          </w:tcPr>
          <w:p w:rsidR="003A4158" w:rsidRPr="00186747" w:rsidRDefault="00AC0EAE" w:rsidP="00DE2FAA">
            <w:pPr>
              <w:autoSpaceDE w:val="0"/>
              <w:autoSpaceDN w:val="0"/>
              <w:adjustRightInd w:val="0"/>
              <w:spacing w:before="100" w:after="100"/>
              <w:rPr>
                <w:color w:val="FFFFFF"/>
                <w:sz w:val="18"/>
                <w:szCs w:val="18"/>
              </w:rPr>
            </w:pPr>
            <w:r>
              <w:rPr>
                <w:b/>
                <w:bCs/>
                <w:color w:val="FFFFFF"/>
                <w:sz w:val="18"/>
                <w:szCs w:val="18"/>
              </w:rPr>
              <w:t>7</w:t>
            </w:r>
            <w:r w:rsidR="003A4158">
              <w:rPr>
                <w:b/>
                <w:bCs/>
                <w:color w:val="FFFFFF"/>
                <w:sz w:val="18"/>
                <w:szCs w:val="18"/>
              </w:rPr>
              <w:t>:</w:t>
            </w:r>
            <w:r>
              <w:rPr>
                <w:b/>
                <w:bCs/>
                <w:color w:val="FFFFFF"/>
                <w:sz w:val="18"/>
                <w:szCs w:val="18"/>
              </w:rPr>
              <w:t>0</w:t>
            </w:r>
            <w:r w:rsidR="003A4158">
              <w:rPr>
                <w:b/>
                <w:bCs/>
                <w:color w:val="FFFFFF"/>
                <w:sz w:val="18"/>
                <w:szCs w:val="18"/>
              </w:rPr>
              <w:t>0</w:t>
            </w:r>
            <w:r w:rsidR="003A4158" w:rsidRPr="00186747">
              <w:rPr>
                <w:b/>
                <w:bCs/>
                <w:color w:val="FFFFFF"/>
                <w:sz w:val="18"/>
                <w:szCs w:val="18"/>
              </w:rPr>
              <w:t xml:space="preserve"> </w:t>
            </w:r>
            <w:r w:rsidR="003A4158">
              <w:rPr>
                <w:b/>
                <w:bCs/>
                <w:color w:val="FFFFFF"/>
                <w:sz w:val="18"/>
                <w:szCs w:val="18"/>
              </w:rPr>
              <w:t>A</w:t>
            </w:r>
            <w:r w:rsidR="003A4158" w:rsidRPr="00186747">
              <w:rPr>
                <w:b/>
                <w:bCs/>
                <w:color w:val="FFFFFF"/>
                <w:sz w:val="18"/>
                <w:szCs w:val="18"/>
              </w:rPr>
              <w:t>M</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Actual</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 xml:space="preserve">4 </w:t>
            </w:r>
            <w:proofErr w:type="spellStart"/>
            <w:r w:rsidRPr="00186747">
              <w:rPr>
                <w:b/>
                <w:bCs/>
                <w:color w:val="FFFFFF"/>
                <w:sz w:val="18"/>
                <w:szCs w:val="18"/>
              </w:rPr>
              <w:t>hr</w:t>
            </w:r>
            <w:proofErr w:type="spellEnd"/>
            <w:r w:rsidRPr="00186747">
              <w:rPr>
                <w:b/>
                <w:bCs/>
                <w:color w:val="FFFFFF"/>
                <w:sz w:val="18"/>
                <w:szCs w:val="18"/>
              </w:rPr>
              <w:t xml:space="preserve"> forecast</w:t>
            </w:r>
          </w:p>
        </w:tc>
        <w:tc>
          <w:tcPr>
            <w:tcW w:w="2090" w:type="dxa"/>
            <w:shd w:val="clear" w:color="auto" w:fill="4A442A"/>
            <w:noWrap/>
            <w:vAlign w:val="bottom"/>
          </w:tcPr>
          <w:p w:rsidR="003A4158" w:rsidRPr="00186747" w:rsidRDefault="003A4158" w:rsidP="003A4158">
            <w:pPr>
              <w:autoSpaceDE w:val="0"/>
              <w:autoSpaceDN w:val="0"/>
              <w:adjustRightInd w:val="0"/>
              <w:spacing w:before="100" w:after="100"/>
              <w:jc w:val="center"/>
              <w:rPr>
                <w:color w:val="FFFFFF"/>
                <w:sz w:val="18"/>
                <w:szCs w:val="18"/>
              </w:rPr>
            </w:pPr>
            <w:r w:rsidRPr="00186747">
              <w:rPr>
                <w:b/>
                <w:bCs/>
                <w:color w:val="FFFFFF"/>
                <w:sz w:val="18"/>
                <w:szCs w:val="18"/>
              </w:rPr>
              <w:t xml:space="preserve">12 </w:t>
            </w:r>
            <w:proofErr w:type="spellStart"/>
            <w:r w:rsidRPr="00186747">
              <w:rPr>
                <w:b/>
                <w:bCs/>
                <w:color w:val="FFFFFF"/>
                <w:sz w:val="18"/>
                <w:szCs w:val="18"/>
              </w:rPr>
              <w:t>hr</w:t>
            </w:r>
            <w:proofErr w:type="spellEnd"/>
            <w:r w:rsidRPr="00186747">
              <w:rPr>
                <w:b/>
                <w:bCs/>
                <w:color w:val="FFFFFF"/>
                <w:sz w:val="18"/>
                <w:szCs w:val="18"/>
              </w:rPr>
              <w:t xml:space="preserve"> forecast</w:t>
            </w:r>
          </w:p>
        </w:tc>
      </w:tr>
      <w:tr w:rsidR="00AC0EAE" w:rsidRPr="00095C39" w:rsidTr="0085539D">
        <w:tc>
          <w:tcPr>
            <w:tcW w:w="2802" w:type="dxa"/>
            <w:shd w:val="clear" w:color="auto" w:fill="DDD9C3"/>
            <w:noWrap/>
            <w:vAlign w:val="bottom"/>
          </w:tcPr>
          <w:p w:rsidR="00AC0EAE" w:rsidRPr="0085539D" w:rsidRDefault="00AC0EAE" w:rsidP="0085539D">
            <w:pPr>
              <w:pStyle w:val="AERtabletext-numbers"/>
              <w:jc w:val="left"/>
              <w:rPr>
                <w:b/>
              </w:rPr>
            </w:pPr>
            <w:r w:rsidRPr="0085539D">
              <w:rPr>
                <w:b/>
              </w:rPr>
              <w:t>Price ($/</w:t>
            </w:r>
            <w:proofErr w:type="spellStart"/>
            <w:r w:rsidRPr="0085539D">
              <w:rPr>
                <w:b/>
              </w:rPr>
              <w:t>MWh</w:t>
            </w:r>
            <w:proofErr w:type="spellEnd"/>
            <w:r w:rsidRPr="0085539D">
              <w:rPr>
                <w:b/>
              </w:rPr>
              <w:t>)</w:t>
            </w:r>
          </w:p>
        </w:tc>
        <w:tc>
          <w:tcPr>
            <w:tcW w:w="2090" w:type="dxa"/>
            <w:shd w:val="clear" w:color="auto" w:fill="DDD9C3"/>
            <w:noWrap/>
            <w:vAlign w:val="bottom"/>
          </w:tcPr>
          <w:p w:rsidR="00AC0EAE" w:rsidRPr="0085539D" w:rsidRDefault="00AC0EAE" w:rsidP="0085539D">
            <w:pPr>
              <w:pStyle w:val="AERtabletext-numbers"/>
              <w:jc w:val="center"/>
            </w:pPr>
            <w:r w:rsidRPr="0085539D">
              <w:t>2223.36</w:t>
            </w:r>
          </w:p>
        </w:tc>
        <w:tc>
          <w:tcPr>
            <w:tcW w:w="2090" w:type="dxa"/>
            <w:shd w:val="clear" w:color="auto" w:fill="DDD9C3"/>
            <w:noWrap/>
            <w:vAlign w:val="bottom"/>
          </w:tcPr>
          <w:p w:rsidR="00AC0EAE" w:rsidRPr="0085539D" w:rsidRDefault="00AC0EAE" w:rsidP="0085539D">
            <w:pPr>
              <w:pStyle w:val="AERtabletext-numbers"/>
              <w:jc w:val="center"/>
            </w:pPr>
            <w:r w:rsidRPr="0085539D">
              <w:t>60.08</w:t>
            </w:r>
          </w:p>
        </w:tc>
        <w:tc>
          <w:tcPr>
            <w:tcW w:w="2090" w:type="dxa"/>
            <w:shd w:val="clear" w:color="auto" w:fill="DDD9C3"/>
            <w:noWrap/>
            <w:vAlign w:val="bottom"/>
          </w:tcPr>
          <w:p w:rsidR="00AC0EAE" w:rsidRPr="0085539D" w:rsidRDefault="00AC0EAE" w:rsidP="0085539D">
            <w:pPr>
              <w:pStyle w:val="AERtabletext-numbers"/>
              <w:jc w:val="center"/>
            </w:pPr>
            <w:r w:rsidRPr="0085539D">
              <w:t>60.00</w:t>
            </w:r>
          </w:p>
        </w:tc>
      </w:tr>
      <w:tr w:rsidR="00AC0EAE" w:rsidRPr="00095C39" w:rsidTr="0085539D">
        <w:tc>
          <w:tcPr>
            <w:tcW w:w="2802" w:type="dxa"/>
            <w:tcBorders>
              <w:bottom w:val="nil"/>
            </w:tcBorders>
            <w:shd w:val="clear" w:color="auto" w:fill="EEECE1"/>
            <w:noWrap/>
            <w:vAlign w:val="bottom"/>
          </w:tcPr>
          <w:p w:rsidR="00AC0EAE" w:rsidRPr="0085539D" w:rsidRDefault="00AC0EAE" w:rsidP="0085539D">
            <w:pPr>
              <w:pStyle w:val="AERtabletext-numbers"/>
              <w:jc w:val="left"/>
              <w:rPr>
                <w:b/>
              </w:rPr>
            </w:pPr>
            <w:r w:rsidRPr="0085539D">
              <w:rPr>
                <w:b/>
              </w:rPr>
              <w:t>Demand (MW)</w:t>
            </w:r>
          </w:p>
        </w:tc>
        <w:tc>
          <w:tcPr>
            <w:tcW w:w="2090" w:type="dxa"/>
            <w:tcBorders>
              <w:bottom w:val="nil"/>
            </w:tcBorders>
            <w:shd w:val="clear" w:color="auto" w:fill="EEECE1"/>
            <w:noWrap/>
            <w:vAlign w:val="bottom"/>
          </w:tcPr>
          <w:p w:rsidR="00AC0EAE" w:rsidRPr="0085539D" w:rsidRDefault="00AC0EAE" w:rsidP="0085539D">
            <w:pPr>
              <w:pStyle w:val="AERtabletext-numbers"/>
              <w:jc w:val="center"/>
            </w:pPr>
            <w:r w:rsidRPr="0085539D">
              <w:t>5624</w:t>
            </w:r>
          </w:p>
        </w:tc>
        <w:tc>
          <w:tcPr>
            <w:tcW w:w="2090" w:type="dxa"/>
            <w:tcBorders>
              <w:bottom w:val="nil"/>
            </w:tcBorders>
            <w:shd w:val="clear" w:color="auto" w:fill="EEECE1"/>
            <w:noWrap/>
            <w:vAlign w:val="bottom"/>
          </w:tcPr>
          <w:p w:rsidR="00AC0EAE" w:rsidRPr="0085539D" w:rsidRDefault="00AC0EAE" w:rsidP="0085539D">
            <w:pPr>
              <w:pStyle w:val="AERtabletext-numbers"/>
              <w:jc w:val="center"/>
            </w:pPr>
            <w:r w:rsidRPr="0085539D">
              <w:t>5665</w:t>
            </w:r>
          </w:p>
        </w:tc>
        <w:tc>
          <w:tcPr>
            <w:tcW w:w="2090" w:type="dxa"/>
            <w:tcBorders>
              <w:bottom w:val="nil"/>
            </w:tcBorders>
            <w:shd w:val="clear" w:color="auto" w:fill="EEECE1"/>
            <w:noWrap/>
            <w:vAlign w:val="bottom"/>
          </w:tcPr>
          <w:p w:rsidR="00AC0EAE" w:rsidRPr="0085539D" w:rsidRDefault="00AC0EAE" w:rsidP="0085539D">
            <w:pPr>
              <w:pStyle w:val="AERtabletext-numbers"/>
              <w:jc w:val="center"/>
            </w:pPr>
            <w:r w:rsidRPr="0085539D">
              <w:t>5693</w:t>
            </w:r>
          </w:p>
        </w:tc>
      </w:tr>
      <w:tr w:rsidR="00AC0EAE" w:rsidRPr="00095C39" w:rsidTr="0085539D">
        <w:tc>
          <w:tcPr>
            <w:tcW w:w="2802" w:type="dxa"/>
            <w:tcBorders>
              <w:top w:val="nil"/>
              <w:bottom w:val="single" w:sz="4" w:space="0" w:color="auto"/>
            </w:tcBorders>
            <w:shd w:val="clear" w:color="auto" w:fill="DDD9C3"/>
            <w:noWrap/>
            <w:vAlign w:val="bottom"/>
          </w:tcPr>
          <w:p w:rsidR="00AC0EAE" w:rsidRPr="0085539D" w:rsidRDefault="00AC0EAE" w:rsidP="0085539D">
            <w:pPr>
              <w:pStyle w:val="AERtabletext-numbers"/>
              <w:jc w:val="left"/>
              <w:rPr>
                <w:b/>
              </w:rPr>
            </w:pPr>
            <w:r w:rsidRPr="0085539D">
              <w:rPr>
                <w:b/>
              </w:rPr>
              <w:t>Available capacity (MW)</w:t>
            </w:r>
          </w:p>
        </w:tc>
        <w:tc>
          <w:tcPr>
            <w:tcW w:w="2090" w:type="dxa"/>
            <w:tcBorders>
              <w:top w:val="nil"/>
              <w:bottom w:val="single" w:sz="4" w:space="0" w:color="auto"/>
            </w:tcBorders>
            <w:shd w:val="clear" w:color="auto" w:fill="DDD9C3"/>
            <w:noWrap/>
            <w:vAlign w:val="bottom"/>
          </w:tcPr>
          <w:p w:rsidR="00AC0EAE" w:rsidRPr="0085539D" w:rsidRDefault="00AC0EAE" w:rsidP="0085539D">
            <w:pPr>
              <w:pStyle w:val="AERtabletext-numbers"/>
              <w:jc w:val="center"/>
            </w:pPr>
            <w:r w:rsidRPr="0085539D">
              <w:t>9236</w:t>
            </w:r>
          </w:p>
        </w:tc>
        <w:tc>
          <w:tcPr>
            <w:tcW w:w="2090" w:type="dxa"/>
            <w:tcBorders>
              <w:top w:val="nil"/>
              <w:bottom w:val="single" w:sz="4" w:space="0" w:color="auto"/>
            </w:tcBorders>
            <w:shd w:val="clear" w:color="auto" w:fill="DDD9C3"/>
            <w:noWrap/>
            <w:vAlign w:val="bottom"/>
          </w:tcPr>
          <w:p w:rsidR="00AC0EAE" w:rsidRPr="0085539D" w:rsidRDefault="00AC0EAE" w:rsidP="0085539D">
            <w:pPr>
              <w:pStyle w:val="AERtabletext-numbers"/>
              <w:jc w:val="center"/>
            </w:pPr>
            <w:r w:rsidRPr="0085539D">
              <w:t>9322</w:t>
            </w:r>
          </w:p>
        </w:tc>
        <w:tc>
          <w:tcPr>
            <w:tcW w:w="2090" w:type="dxa"/>
            <w:tcBorders>
              <w:top w:val="nil"/>
              <w:bottom w:val="single" w:sz="4" w:space="0" w:color="auto"/>
            </w:tcBorders>
            <w:shd w:val="clear" w:color="auto" w:fill="DDD9C3"/>
            <w:noWrap/>
            <w:vAlign w:val="bottom"/>
          </w:tcPr>
          <w:p w:rsidR="00AC0EAE" w:rsidRPr="0085539D" w:rsidRDefault="00AC0EAE" w:rsidP="0085539D">
            <w:pPr>
              <w:pStyle w:val="AERtabletext-numbers"/>
              <w:jc w:val="center"/>
            </w:pPr>
            <w:r w:rsidRPr="0085539D">
              <w:t>9407</w:t>
            </w:r>
          </w:p>
        </w:tc>
      </w:tr>
    </w:tbl>
    <w:p w:rsidR="00790DF0" w:rsidRDefault="00DE2FAA" w:rsidP="000E1982">
      <w:pPr>
        <w:pStyle w:val="AERbodytext"/>
        <w:spacing w:after="120"/>
        <w:rPr>
          <w:lang w:eastAsia="en-AU"/>
        </w:rPr>
      </w:pPr>
      <w:r>
        <w:rPr>
          <w:lang w:eastAsia="en-AU"/>
        </w:rPr>
        <w:br/>
        <w:t xml:space="preserve">Demand and available capacity were slightly lower than forecast four and 12 hours </w:t>
      </w:r>
      <w:r w:rsidR="00793FDF">
        <w:rPr>
          <w:lang w:eastAsia="en-AU"/>
        </w:rPr>
        <w:t>ahead</w:t>
      </w:r>
      <w:r>
        <w:rPr>
          <w:lang w:eastAsia="en-AU"/>
        </w:rPr>
        <w:t>.</w:t>
      </w:r>
    </w:p>
    <w:p w:rsidR="000E1982" w:rsidRDefault="000E1982" w:rsidP="000E1982">
      <w:pPr>
        <w:spacing w:after="120"/>
      </w:pPr>
      <w:r>
        <w:t xml:space="preserve">At 6.08 am, </w:t>
      </w:r>
      <w:r w:rsidR="0006767C">
        <w:t xml:space="preserve">effective from 6.20 am, </w:t>
      </w:r>
      <w:r w:rsidR="000D78E6">
        <w:t xml:space="preserve">CS Energy reduced the available capacity of Gladstone </w:t>
      </w:r>
      <w:r w:rsidR="0006767C">
        <w:t>unit</w:t>
      </w:r>
      <w:r w:rsidR="00793FDF">
        <w:t> </w:t>
      </w:r>
      <w:r w:rsidR="000D78E6">
        <w:t xml:space="preserve">2 by 150 MW, </w:t>
      </w:r>
      <w:r w:rsidR="0006767C">
        <w:t>140 MW of which was priced below $300/</w:t>
      </w:r>
      <w:proofErr w:type="spellStart"/>
      <w:r w:rsidR="0006767C">
        <w:t>MWh</w:t>
      </w:r>
      <w:proofErr w:type="spellEnd"/>
      <w:r w:rsidR="000D78E6">
        <w:t>. The reason given was “0607P technical issues-feedwater pump issue-SL”.</w:t>
      </w:r>
      <w:r w:rsidR="00EA2542">
        <w:t xml:space="preserve"> At 6.10 am, effective from 6.20 am, CS Energy rebid 50 MW of capacity at the remaining Gladstone units from the price cap to $52/</w:t>
      </w:r>
      <w:proofErr w:type="spellStart"/>
      <w:r w:rsidR="00EA2542">
        <w:t>MWh</w:t>
      </w:r>
      <w:proofErr w:type="spellEnd"/>
      <w:r w:rsidR="00EA2542">
        <w:t>. The reason given was “0608P Portfolio rearrangement due to</w:t>
      </w:r>
      <w:r w:rsidR="00793FDF">
        <w:t xml:space="preserve"> </w:t>
      </w:r>
      <w:r w:rsidR="00EA2542">
        <w:t>G2 feedwater pump issue-SL”.</w:t>
      </w:r>
      <w:r w:rsidR="000D78E6">
        <w:t xml:space="preserve"> At 6.45 am, effective </w:t>
      </w:r>
      <w:r w:rsidR="0006767C">
        <w:t>from</w:t>
      </w:r>
      <w:r w:rsidR="000D78E6">
        <w:t xml:space="preserve"> 6.55 am, CS </w:t>
      </w:r>
      <w:r w:rsidR="0006767C">
        <w:t xml:space="preserve">Energy reversed the previous </w:t>
      </w:r>
      <w:r w:rsidR="00DB3336">
        <w:t>Gladstone</w:t>
      </w:r>
      <w:r w:rsidR="00EA2542">
        <w:t xml:space="preserve"> unit 2 </w:t>
      </w:r>
      <w:r w:rsidR="0006767C">
        <w:t xml:space="preserve">rebid, </w:t>
      </w:r>
      <w:r w:rsidR="00793FDF">
        <w:t>with</w:t>
      </w:r>
      <w:r w:rsidR="0006767C">
        <w:t xml:space="preserve"> the same reason. </w:t>
      </w:r>
    </w:p>
    <w:p w:rsidR="00026D93" w:rsidRPr="000E1982" w:rsidRDefault="00026D93" w:rsidP="000E1982">
      <w:pPr>
        <w:spacing w:after="120"/>
      </w:pPr>
      <w:r>
        <w:t xml:space="preserve">At 6.33 am, effective from 6.40 am, Origin Energy reduced the available capacity of Darling Downs by </w:t>
      </w:r>
      <w:r w:rsidRPr="000E1982">
        <w:t>10 MW, all of which was price</w:t>
      </w:r>
      <w:r w:rsidR="00AB1736" w:rsidRPr="000E1982">
        <w:t>d</w:t>
      </w:r>
      <w:r w:rsidRPr="000E1982">
        <w:t xml:space="preserve"> at </w:t>
      </w:r>
      <w:r w:rsidR="00A023E5" w:rsidRPr="000E1982">
        <w:t>zero. The reason given was “Plant conditions – ambient temps SL”.</w:t>
      </w:r>
    </w:p>
    <w:p w:rsidR="004A2364" w:rsidRDefault="00D706F5" w:rsidP="000E1982">
      <w:pPr>
        <w:spacing w:after="120"/>
      </w:pPr>
      <w:r>
        <w:t>D</w:t>
      </w:r>
      <w:r w:rsidR="00790DF0" w:rsidRPr="007F4B7A">
        <w:t>emand increased</w:t>
      </w:r>
      <w:r w:rsidR="000C299A">
        <w:t xml:space="preserve"> from </w:t>
      </w:r>
      <w:r w:rsidR="001A2507">
        <w:t>5473 </w:t>
      </w:r>
      <w:r w:rsidR="000C299A">
        <w:t>MW at 6.30 </w:t>
      </w:r>
      <w:r w:rsidR="000D066B">
        <w:t>a</w:t>
      </w:r>
      <w:r w:rsidR="000C299A">
        <w:t>m to</w:t>
      </w:r>
      <w:r w:rsidR="00790DF0" w:rsidRPr="007F4B7A">
        <w:t xml:space="preserve"> 5595 MW at 6.35 am</w:t>
      </w:r>
      <w:r w:rsidR="000C299A">
        <w:t xml:space="preserve"> and</w:t>
      </w:r>
      <w:r w:rsidR="00790DF0" w:rsidRPr="007F4B7A">
        <w:t xml:space="preserve"> </w:t>
      </w:r>
      <w:r w:rsidR="00793FDF">
        <w:t xml:space="preserve">then </w:t>
      </w:r>
      <w:r w:rsidR="00790DF0" w:rsidRPr="007F4B7A">
        <w:t>to 5662 MW at 6.</w:t>
      </w:r>
      <w:r w:rsidR="000C299A" w:rsidRPr="007F4B7A">
        <w:t>40</w:t>
      </w:r>
      <w:r w:rsidR="000C299A">
        <w:t> </w:t>
      </w:r>
      <w:proofErr w:type="gramStart"/>
      <w:r w:rsidR="00790DF0" w:rsidRPr="007F4B7A">
        <w:t>am</w:t>
      </w:r>
      <w:proofErr w:type="gramEnd"/>
      <w:r w:rsidR="000C299A">
        <w:t xml:space="preserve"> (1</w:t>
      </w:r>
      <w:r w:rsidR="001A2507">
        <w:t>89</w:t>
      </w:r>
      <w:r w:rsidR="000C299A">
        <w:t> MW in total)</w:t>
      </w:r>
      <w:r w:rsidR="00790DF0" w:rsidRPr="007F4B7A">
        <w:t xml:space="preserve">. </w:t>
      </w:r>
      <w:r w:rsidR="000D066B">
        <w:t xml:space="preserve">Over the same period, scheduled </w:t>
      </w:r>
      <w:r w:rsidR="00E21D6D">
        <w:t xml:space="preserve">flows </w:t>
      </w:r>
      <w:r w:rsidR="00FB12F8">
        <w:t xml:space="preserve">across the QNI interconnector </w:t>
      </w:r>
      <w:r w:rsidR="000D066B">
        <w:t>into Queensland increased by 1</w:t>
      </w:r>
      <w:r w:rsidR="000A5A31">
        <w:t>13</w:t>
      </w:r>
      <w:r w:rsidR="00793FDF">
        <w:t> </w:t>
      </w:r>
      <w:r w:rsidR="000D066B">
        <w:t xml:space="preserve">MW to </w:t>
      </w:r>
      <w:r w:rsidR="00E21D6D">
        <w:t xml:space="preserve">the limit </w:t>
      </w:r>
      <w:r w:rsidR="000D066B">
        <w:t>of 188 MW (</w:t>
      </w:r>
      <w:r w:rsidR="00FB12F8">
        <w:t xml:space="preserve">the </w:t>
      </w:r>
      <w:proofErr w:type="spellStart"/>
      <w:r w:rsidR="00FB12F8">
        <w:t>Directlink</w:t>
      </w:r>
      <w:proofErr w:type="spellEnd"/>
      <w:r w:rsidR="00FB12F8">
        <w:t xml:space="preserve"> interconnector </w:t>
      </w:r>
      <w:r w:rsidR="000D066B">
        <w:t xml:space="preserve">was </w:t>
      </w:r>
      <w:r w:rsidR="00FB12F8">
        <w:t>out of service</w:t>
      </w:r>
      <w:r w:rsidR="000D066B">
        <w:t>)</w:t>
      </w:r>
      <w:r w:rsidR="004A2364">
        <w:t>. The remaining</w:t>
      </w:r>
      <w:r w:rsidR="000C299A">
        <w:t xml:space="preserve"> increase in demand </w:t>
      </w:r>
      <w:r w:rsidR="004A2364">
        <w:t xml:space="preserve">of around </w:t>
      </w:r>
      <w:r w:rsidR="004D2442">
        <w:t>76</w:t>
      </w:r>
      <w:r w:rsidR="00E460D2">
        <w:t> </w:t>
      </w:r>
      <w:r w:rsidR="004A2364">
        <w:t xml:space="preserve">MW </w:t>
      </w:r>
      <w:r w:rsidR="000C299A">
        <w:t xml:space="preserve">was unable to be satisfied by </w:t>
      </w:r>
      <w:r w:rsidR="00793FDF">
        <w:t xml:space="preserve">local </w:t>
      </w:r>
      <w:r w:rsidR="000C299A">
        <w:t>low</w:t>
      </w:r>
      <w:r w:rsidR="00793FDF">
        <w:t>-</w:t>
      </w:r>
      <w:r w:rsidR="000C299A">
        <w:t>price generation</w:t>
      </w:r>
      <w:r w:rsidR="00F860C3">
        <w:t>, because:</w:t>
      </w:r>
      <w:r w:rsidR="000C299A">
        <w:t xml:space="preserve"> </w:t>
      </w:r>
    </w:p>
    <w:p w:rsidR="004A2364" w:rsidRPr="00B44727" w:rsidRDefault="00DC74A2" w:rsidP="000E1982">
      <w:pPr>
        <w:numPr>
          <w:ilvl w:val="0"/>
          <w:numId w:val="44"/>
        </w:numPr>
        <w:spacing w:after="120"/>
      </w:pPr>
      <w:r>
        <w:t>228</w:t>
      </w:r>
      <w:r w:rsidR="004A2364" w:rsidRPr="001A2507">
        <w:t>0</w:t>
      </w:r>
      <w:r w:rsidR="00793FDF">
        <w:t> </w:t>
      </w:r>
      <w:r w:rsidR="004A2364" w:rsidRPr="001A2507">
        <w:t>MW of fast start plant (1200</w:t>
      </w:r>
      <w:r w:rsidR="00793FDF">
        <w:t> </w:t>
      </w:r>
      <w:r w:rsidR="004A2364" w:rsidRPr="001A2507">
        <w:t xml:space="preserve">MW </w:t>
      </w:r>
      <w:r w:rsidR="00B571AB">
        <w:t xml:space="preserve">of which was </w:t>
      </w:r>
      <w:r w:rsidR="004A2364" w:rsidRPr="001A2507">
        <w:t xml:space="preserve">priced at </w:t>
      </w:r>
      <w:r w:rsidR="00B571AB">
        <w:t xml:space="preserve">or below </w:t>
      </w:r>
      <w:r w:rsidR="004A2364" w:rsidRPr="001A2507">
        <w:t>$2100/</w:t>
      </w:r>
      <w:proofErr w:type="spellStart"/>
      <w:r w:rsidR="004A2364" w:rsidRPr="001A2507">
        <w:t>MWh</w:t>
      </w:r>
      <w:proofErr w:type="spellEnd"/>
      <w:r w:rsidR="004A2364" w:rsidRPr="001A2507">
        <w:t>) was u</w:t>
      </w:r>
      <w:r w:rsidR="004A2364" w:rsidRPr="00A0692E">
        <w:t xml:space="preserve">nable to come online in time. </w:t>
      </w:r>
    </w:p>
    <w:p w:rsidR="00C876C2" w:rsidRDefault="004A2364" w:rsidP="00C876C2">
      <w:pPr>
        <w:numPr>
          <w:ilvl w:val="0"/>
          <w:numId w:val="44"/>
        </w:numPr>
        <w:spacing w:after="120"/>
      </w:pPr>
      <w:r>
        <w:t>There was also 125</w:t>
      </w:r>
      <w:r w:rsidR="0069407E">
        <w:t> </w:t>
      </w:r>
      <w:r>
        <w:t>MW of capacity at Gladstone</w:t>
      </w:r>
      <w:r w:rsidR="00A0692E">
        <w:t xml:space="preserve"> </w:t>
      </w:r>
      <w:r>
        <w:t>priced at less than $</w:t>
      </w:r>
      <w:r w:rsidR="00A0692E">
        <w:t>290</w:t>
      </w:r>
      <w:r>
        <w:t>/</w:t>
      </w:r>
      <w:proofErr w:type="spellStart"/>
      <w:r>
        <w:t>MWh</w:t>
      </w:r>
      <w:proofErr w:type="spellEnd"/>
      <w:r>
        <w:t xml:space="preserve"> that was not </w:t>
      </w:r>
      <w:r w:rsidR="000D6F12">
        <w:t xml:space="preserve">dispatched </w:t>
      </w:r>
      <w:r>
        <w:t xml:space="preserve">to meet this increase in demand as </w:t>
      </w:r>
      <w:r w:rsidR="00A0692E">
        <w:t>the</w:t>
      </w:r>
      <w:r>
        <w:t xml:space="preserve"> units were either</w:t>
      </w:r>
      <w:r w:rsidR="002114AF">
        <w:t xml:space="preserve"> ramp rate limited,</w:t>
      </w:r>
      <w:r>
        <w:t xml:space="preserve"> trapped</w:t>
      </w:r>
      <w:r w:rsidR="00A0692E">
        <w:t xml:space="preserve"> </w:t>
      </w:r>
      <w:r w:rsidR="002114AF">
        <w:t xml:space="preserve">or stranded </w:t>
      </w:r>
      <w:r w:rsidR="00A0692E">
        <w:t>in FCAS</w:t>
      </w:r>
      <w:r w:rsidR="002114AF">
        <w:t xml:space="preserve"> (</w:t>
      </w:r>
      <w:r w:rsidR="000D6F12">
        <w:t xml:space="preserve">such </w:t>
      </w:r>
      <w:r w:rsidR="002114AF">
        <w:t>that energy output could not be varied)</w:t>
      </w:r>
      <w:r>
        <w:t xml:space="preserve">. </w:t>
      </w:r>
    </w:p>
    <w:p w:rsidR="000C299A" w:rsidRDefault="004A2364" w:rsidP="000E1982">
      <w:pPr>
        <w:spacing w:after="120"/>
      </w:pPr>
      <w:r>
        <w:t xml:space="preserve">As a result </w:t>
      </w:r>
      <w:r w:rsidR="000C299A">
        <w:t>high</w:t>
      </w:r>
      <w:r w:rsidR="00B61BF6">
        <w:t>-</w:t>
      </w:r>
      <w:r w:rsidR="000C299A">
        <w:t>price generation</w:t>
      </w:r>
      <w:r>
        <w:t xml:space="preserve"> </w:t>
      </w:r>
      <w:r w:rsidR="00B61BF6">
        <w:t xml:space="preserve">at Stanwell’s Swanbank and </w:t>
      </w:r>
      <w:proofErr w:type="spellStart"/>
      <w:r w:rsidR="00B61BF6">
        <w:t>Tarong</w:t>
      </w:r>
      <w:proofErr w:type="spellEnd"/>
      <w:r w:rsidR="00B61BF6">
        <w:t xml:space="preserve"> power stations </w:t>
      </w:r>
      <w:r>
        <w:t>was dispatched</w:t>
      </w:r>
      <w:r w:rsidR="00FB12F8">
        <w:t>, which</w:t>
      </w:r>
      <w:r w:rsidR="000C299A">
        <w:t xml:space="preserve"> saw the 5-minute price increase from $66/</w:t>
      </w:r>
      <w:proofErr w:type="spellStart"/>
      <w:r w:rsidR="000C299A">
        <w:t>MWh</w:t>
      </w:r>
      <w:proofErr w:type="spellEnd"/>
      <w:r w:rsidR="000C299A">
        <w:t xml:space="preserve"> at 6.</w:t>
      </w:r>
      <w:r w:rsidR="00AB1627">
        <w:t>3</w:t>
      </w:r>
      <w:r w:rsidR="000C299A">
        <w:t>5 </w:t>
      </w:r>
      <w:r w:rsidR="00AB1627">
        <w:t>a</w:t>
      </w:r>
      <w:r w:rsidR="000C299A">
        <w:t>m to the price cap at 6.</w:t>
      </w:r>
      <w:r w:rsidR="00AB1627">
        <w:t>4</w:t>
      </w:r>
      <w:r w:rsidR="000C299A">
        <w:t>0 </w:t>
      </w:r>
      <w:r w:rsidR="00AB1627">
        <w:t>a</w:t>
      </w:r>
      <w:r w:rsidR="000C299A">
        <w:t>m.</w:t>
      </w:r>
    </w:p>
    <w:p w:rsidR="00AB1627" w:rsidRDefault="00FB12F8" w:rsidP="000E1982">
      <w:pPr>
        <w:spacing w:after="120"/>
      </w:pPr>
      <w:r>
        <w:t>A</w:t>
      </w:r>
      <w:r w:rsidR="0032756C">
        <w:t>t 6.</w:t>
      </w:r>
      <w:r w:rsidR="00AB1627">
        <w:t>45</w:t>
      </w:r>
      <w:r w:rsidR="00AB1627" w:rsidRPr="00BE4C54">
        <w:t> </w:t>
      </w:r>
      <w:r w:rsidR="0032756C" w:rsidRPr="00BE4C54">
        <w:t>am</w:t>
      </w:r>
      <w:r w:rsidR="00AB1627">
        <w:t xml:space="preserve"> </w:t>
      </w:r>
      <w:r>
        <w:t xml:space="preserve">Queensland generators rebid around 450 MW of capacity from the price cap to zero or below, and, according to AEMO, at the same time </w:t>
      </w:r>
      <w:r w:rsidR="00AB1627">
        <w:t>there was an apparent demand side response from a refinery in Northern Queensland</w:t>
      </w:r>
      <w:r w:rsidR="00026D93">
        <w:t xml:space="preserve">. This saw the 5-minute </w:t>
      </w:r>
      <w:proofErr w:type="gramStart"/>
      <w:r w:rsidR="00026D93">
        <w:t xml:space="preserve">price </w:t>
      </w:r>
      <w:r>
        <w:t>fall</w:t>
      </w:r>
      <w:proofErr w:type="gramEnd"/>
      <w:r w:rsidR="00026D93" w:rsidRPr="00BE4C54">
        <w:t xml:space="preserve"> to </w:t>
      </w:r>
      <w:r w:rsidR="00026D93">
        <w:t>around $50/</w:t>
      </w:r>
      <w:proofErr w:type="spellStart"/>
      <w:r w:rsidR="00026D93">
        <w:t>MWh</w:t>
      </w:r>
      <w:proofErr w:type="spellEnd"/>
      <w:r w:rsidR="00026D93">
        <w:t xml:space="preserve"> for the remainder of the trading interval.</w:t>
      </w:r>
    </w:p>
    <w:p w:rsidR="0032756C" w:rsidRDefault="0032756C" w:rsidP="000E1982">
      <w:pPr>
        <w:pStyle w:val="AERbodytext"/>
        <w:spacing w:after="120"/>
        <w:rPr>
          <w:lang w:eastAsia="en-AU"/>
        </w:rPr>
      </w:pPr>
      <w:r>
        <w:rPr>
          <w:lang w:eastAsia="en-AU"/>
        </w:rPr>
        <w:t>There was no other significant rebidding.</w:t>
      </w:r>
    </w:p>
    <w:p w:rsidR="00E96C5A" w:rsidRDefault="00E96C5A" w:rsidP="00E96C5A">
      <w:pPr>
        <w:pStyle w:val="Heading2"/>
      </w:pPr>
      <w:r>
        <w:t>Financial markets</w:t>
      </w:r>
    </w:p>
    <w:p w:rsidR="00E96C5A" w:rsidRDefault="00E96C5A" w:rsidP="00E96C5A">
      <w:pPr>
        <w:pStyle w:val="AERbodytext"/>
      </w:pPr>
      <w:r>
        <w:t>Figure 8</w:t>
      </w:r>
      <w:r w:rsidRPr="00181657">
        <w:t xml:space="preserve"> shows </w:t>
      </w:r>
      <w:r>
        <w:t xml:space="preserve">for all mainland regions </w:t>
      </w:r>
      <w:r w:rsidRPr="00181657">
        <w:t xml:space="preserve">the prices for base contracts </w:t>
      </w:r>
      <w:r>
        <w:t xml:space="preserve">(and total traded quantities for the week) </w:t>
      </w:r>
      <w:r w:rsidRPr="00181657">
        <w:t>for each quarter for the next four financial years.</w:t>
      </w:r>
      <w:r>
        <w:t xml:space="preserve"> </w:t>
      </w:r>
    </w:p>
    <w:p w:rsidR="00E96C5A" w:rsidRPr="0030575B" w:rsidRDefault="00E96C5A" w:rsidP="00E96C5A">
      <w:pPr>
        <w:pStyle w:val="Figureheading"/>
        <w:numPr>
          <w:ilvl w:val="0"/>
          <w:numId w:val="0"/>
        </w:numPr>
        <w:ind w:left="357" w:hanging="357"/>
      </w:pPr>
      <w:r w:rsidRPr="0030575B">
        <w:t>Figure 8: Quarterly base future prices Q3 2013 – Q2 2017</w:t>
      </w:r>
    </w:p>
    <w:p w:rsidR="00E96C5A" w:rsidRPr="00D70101" w:rsidRDefault="00E73C34" w:rsidP="00170E47">
      <w:pPr>
        <w:pStyle w:val="AERbodytext"/>
        <w:spacing w:after="0"/>
        <w:rPr>
          <w:color w:val="FF0000"/>
        </w:rPr>
      </w:pPr>
      <w:r>
        <w:pict>
          <v:shape id="_x0000_i1034" type="#_x0000_t75" alt="Figure 8 shows for all mainland regions the prices for base contracts (and total traded quantities for the week) for each quarter for the next four financial years.     &#10;" style="width:450.45pt;height:225.2pt">
            <v:imagedata r:id="rId18" o:title=""/>
          </v:shape>
        </w:pict>
      </w:r>
    </w:p>
    <w:p w:rsidR="00E96C5A" w:rsidRPr="008245F0" w:rsidRDefault="00E96C5A" w:rsidP="00170E47">
      <w:pPr>
        <w:pStyle w:val="Sourceandnotes"/>
        <w:ind w:left="0" w:firstLine="0"/>
      </w:pPr>
      <w:r w:rsidRPr="008245F0">
        <w:t xml:space="preserve">Source: </w:t>
      </w:r>
      <w:hyperlink r:id="rId19" w:history="1">
        <w:r w:rsidRPr="00D87E09">
          <w:rPr>
            <w:rStyle w:val="Hyperlink"/>
          </w:rPr>
          <w:t>ASXEnergy.com.au</w:t>
        </w:r>
      </w:hyperlink>
    </w:p>
    <w:p w:rsidR="00E96C5A" w:rsidRDefault="00E96C5A" w:rsidP="00E96C5A">
      <w:pPr>
        <w:pStyle w:val="AERbodytext"/>
      </w:pPr>
      <w:r w:rsidRPr="00B032DD">
        <w:t xml:space="preserve">Figure </w:t>
      </w:r>
      <w:r>
        <w:t>9</w:t>
      </w:r>
      <w:r w:rsidRPr="00233094">
        <w:t xml:space="preserve"> shows </w:t>
      </w:r>
      <w:r>
        <w:t xml:space="preserve">how </w:t>
      </w:r>
      <w:r w:rsidRPr="00233094">
        <w:t xml:space="preserve">the price for </w:t>
      </w:r>
      <w:r>
        <w:t xml:space="preserve">each regional </w:t>
      </w:r>
      <w:r w:rsidRPr="00233094">
        <w:t xml:space="preserve">Quarter 1 </w:t>
      </w:r>
      <w:r>
        <w:t xml:space="preserve">2014 </w:t>
      </w:r>
      <w:r w:rsidRPr="00233094">
        <w:t xml:space="preserve">base contract has changed over the last </w:t>
      </w:r>
      <w:r>
        <w:t>10</w:t>
      </w:r>
      <w:r w:rsidRPr="00233094">
        <w:t xml:space="preserve"> weeks</w:t>
      </w:r>
      <w:r>
        <w:t xml:space="preserve"> (as well as the total number of trades each week)</w:t>
      </w:r>
      <w:r w:rsidRPr="00233094">
        <w:t xml:space="preserve">. The </w:t>
      </w:r>
      <w:r>
        <w:t>closing Quarter 1 2012 and Quarter 1 2013</w:t>
      </w:r>
      <w:r w:rsidRPr="00233094">
        <w:t xml:space="preserve"> price</w:t>
      </w:r>
      <w:r>
        <w:t>s are</w:t>
      </w:r>
      <w:r w:rsidRPr="00233094">
        <w:t xml:space="preserve"> also shown.</w:t>
      </w:r>
      <w:r>
        <w:t xml:space="preserve"> </w:t>
      </w:r>
    </w:p>
    <w:p w:rsidR="00E96C5A" w:rsidRPr="003C700A" w:rsidRDefault="00E96C5A" w:rsidP="00E96C5A">
      <w:pPr>
        <w:pStyle w:val="Figureheading"/>
        <w:numPr>
          <w:ilvl w:val="0"/>
          <w:numId w:val="0"/>
        </w:numPr>
        <w:ind w:left="357" w:hanging="357"/>
      </w:pPr>
      <w:r w:rsidRPr="003C700A">
        <w:t>Figure 9: Price of Q1 2014 base contracts over the past 10 weeks (and the past 2 years)</w:t>
      </w:r>
    </w:p>
    <w:p w:rsidR="00E96C5A" w:rsidRPr="00D70101" w:rsidRDefault="00E73C34" w:rsidP="00E96C5A">
      <w:pPr>
        <w:pStyle w:val="AERbodytext"/>
        <w:spacing w:after="120"/>
        <w:rPr>
          <w:color w:val="FF0000"/>
        </w:rPr>
      </w:pPr>
      <w:r>
        <w:pict>
          <v:shape id="_x0000_i1035"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10;" style="width:450.45pt;height:225.2pt">
            <v:imagedata r:id="rId20" o:title=""/>
          </v:shape>
        </w:pict>
      </w:r>
    </w:p>
    <w:p w:rsidR="00E96C5A" w:rsidRDefault="00E96C5A" w:rsidP="00E96C5A">
      <w:pPr>
        <w:pStyle w:val="AERbodytext"/>
        <w:spacing w:before="120" w:after="120"/>
        <w:rPr>
          <w:sz w:val="16"/>
          <w:szCs w:val="16"/>
        </w:rPr>
      </w:pPr>
      <w:r>
        <w:rPr>
          <w:sz w:val="16"/>
          <w:szCs w:val="16"/>
        </w:rPr>
        <w:t>Note: Base contract prices are shown for each of the current week and the previous 9 weeks, with average prices shown for yearly periods 1 and 2 years prior to the current year</w:t>
      </w:r>
    </w:p>
    <w:p w:rsidR="00E96C5A" w:rsidRPr="00E2565C" w:rsidRDefault="00E96C5A" w:rsidP="00E96C5A">
      <w:pPr>
        <w:pStyle w:val="Sourceandnotes"/>
      </w:pPr>
      <w:r w:rsidRPr="005543BA">
        <w:t xml:space="preserve">Source: </w:t>
      </w:r>
      <w:hyperlink r:id="rId21" w:history="1">
        <w:r w:rsidRPr="00D87E09">
          <w:rPr>
            <w:rStyle w:val="Hyperlink"/>
          </w:rPr>
          <w:t>ASXEnergy.com.au</w:t>
        </w:r>
      </w:hyperlink>
    </w:p>
    <w:p w:rsidR="00E96C5A" w:rsidRDefault="00E96C5A" w:rsidP="00E96C5A">
      <w:pPr>
        <w:pStyle w:val="AERbodytext"/>
      </w:pPr>
      <w:r>
        <w:t xml:space="preserve">Prices of other financial products (including longer-term price trends) are available in the </w:t>
      </w:r>
      <w:hyperlink r:id="rId22" w:history="1">
        <w:r w:rsidRPr="00EA160C">
          <w:rPr>
            <w:rStyle w:val="Hyperlink"/>
          </w:rPr>
          <w:t>Performance of the Energy Sector</w:t>
        </w:r>
      </w:hyperlink>
      <w:r>
        <w:rPr>
          <w:rStyle w:val="Hyperlink"/>
        </w:rPr>
        <w:t xml:space="preserve"> </w:t>
      </w:r>
      <w:r w:rsidRPr="00D87E09">
        <w:t>section of our website</w:t>
      </w:r>
      <w:r>
        <w:t>.</w:t>
      </w:r>
    </w:p>
    <w:p w:rsidR="00E96C5A" w:rsidRDefault="00E96C5A" w:rsidP="00E96C5A">
      <w:pPr>
        <w:pStyle w:val="AERbodytext"/>
      </w:pPr>
      <w:r w:rsidRPr="00F44993">
        <w:t>Figure 10</w:t>
      </w:r>
      <w:r w:rsidRPr="005B6078">
        <w:t xml:space="preserve"> shows how the price for each regional Quarter 1 201</w:t>
      </w:r>
      <w:r>
        <w:t>4</w:t>
      </w:r>
      <w:r w:rsidRPr="005B6078">
        <w:t xml:space="preserve"> cap contract has changed over the last 10 weeks (as well as the total number of trades each week). The </w:t>
      </w:r>
      <w:r w:rsidRPr="008245F0">
        <w:t xml:space="preserve">closing </w:t>
      </w:r>
      <w:r>
        <w:t>Q</w:t>
      </w:r>
      <w:r w:rsidRPr="008245F0">
        <w:t xml:space="preserve">uarter 1 2012 and </w:t>
      </w:r>
      <w:r>
        <w:t>Q</w:t>
      </w:r>
      <w:r w:rsidRPr="008245F0">
        <w:t xml:space="preserve">uarter 1 2013 prices are also shown. The cap </w:t>
      </w:r>
      <w:proofErr w:type="gramStart"/>
      <w:r w:rsidRPr="008245F0">
        <w:t>contracts limit exposure to extreme spot prices (above $300/</w:t>
      </w:r>
      <w:proofErr w:type="spellStart"/>
      <w:r w:rsidRPr="008245F0">
        <w:t>MWh</w:t>
      </w:r>
      <w:proofErr w:type="spellEnd"/>
      <w:r w:rsidRPr="008245F0">
        <w:t>) and is</w:t>
      </w:r>
      <w:proofErr w:type="gramEnd"/>
      <w:r w:rsidRPr="008245F0">
        <w:t xml:space="preserve"> an indicator of the cost of risk management. </w:t>
      </w:r>
    </w:p>
    <w:p w:rsidR="00E96C5A" w:rsidRPr="003C700A" w:rsidRDefault="00E96C5A" w:rsidP="00E96C5A">
      <w:pPr>
        <w:pStyle w:val="Figureheading"/>
        <w:numPr>
          <w:ilvl w:val="0"/>
          <w:numId w:val="0"/>
        </w:numPr>
        <w:ind w:left="357" w:hanging="357"/>
      </w:pPr>
      <w:r w:rsidRPr="003C700A">
        <w:t>Figure 10: Price of Q1 2014 cap contracts over the past 10 weeks (and the past 2 years)</w:t>
      </w:r>
    </w:p>
    <w:p w:rsidR="00E96C5A" w:rsidRDefault="00E73C34" w:rsidP="00170E47">
      <w:pPr>
        <w:pStyle w:val="AERbodytext"/>
        <w:spacing w:after="120"/>
      </w:pPr>
      <w:r>
        <w:pict>
          <v:shape id="_x0000_i1036" type="#_x0000_t75" alt="Figure 10 shows how the price for each regional Quarter 1 2014 cap contract has changed over the last 10 weeks (as well as the total number of trades each week). The closing quarter 1 2012 and quarter 1 2013 prices are also shown.        &#10;" style="width:450.45pt;height:225.2pt">
            <v:imagedata r:id="rId23" o:title=""/>
          </v:shape>
        </w:pict>
      </w:r>
    </w:p>
    <w:p w:rsidR="00E96C5A" w:rsidRPr="00130EA0" w:rsidRDefault="00E96C5A" w:rsidP="00170E47">
      <w:pPr>
        <w:pStyle w:val="Sourceandnotes"/>
        <w:spacing w:after="120"/>
      </w:pPr>
      <w:r w:rsidRPr="005543BA">
        <w:t>Source</w:t>
      </w:r>
      <w:r>
        <w:t xml:space="preserve">: </w:t>
      </w:r>
      <w:hyperlink r:id="rId24" w:history="1">
        <w:r w:rsidRPr="00D87E09">
          <w:rPr>
            <w:rStyle w:val="Hyperlink"/>
          </w:rPr>
          <w:t>ASXEnergy.com.au</w:t>
        </w:r>
      </w:hyperlink>
    </w:p>
    <w:p w:rsidR="00175886" w:rsidRDefault="00175886" w:rsidP="00E96C5A">
      <w:pPr>
        <w:pStyle w:val="AERbodytext"/>
        <w:keepNext/>
        <w:spacing w:after="120" w:line="240" w:lineRule="auto"/>
        <w:jc w:val="left"/>
        <w:rPr>
          <w:b/>
        </w:rPr>
      </w:pPr>
    </w:p>
    <w:p w:rsidR="00175886" w:rsidRDefault="00175886" w:rsidP="00E96C5A">
      <w:pPr>
        <w:pStyle w:val="AERbodytext"/>
        <w:keepNext/>
        <w:spacing w:after="120" w:line="240" w:lineRule="auto"/>
        <w:jc w:val="left"/>
        <w:rPr>
          <w:b/>
        </w:rPr>
      </w:pPr>
    </w:p>
    <w:p w:rsidR="00175886" w:rsidRDefault="00175886" w:rsidP="00E96C5A">
      <w:pPr>
        <w:pStyle w:val="AERbodytext"/>
        <w:keepNext/>
        <w:spacing w:after="120" w:line="240" w:lineRule="auto"/>
        <w:jc w:val="left"/>
        <w:rPr>
          <w:b/>
        </w:rPr>
      </w:pPr>
    </w:p>
    <w:p w:rsidR="00175886" w:rsidRDefault="00175886" w:rsidP="00E96C5A">
      <w:pPr>
        <w:pStyle w:val="AERbodytext"/>
        <w:keepNext/>
        <w:spacing w:after="120" w:line="240" w:lineRule="auto"/>
        <w:jc w:val="left"/>
        <w:rPr>
          <w:b/>
        </w:rPr>
      </w:pPr>
    </w:p>
    <w:p w:rsidR="00E96C5A" w:rsidRDefault="00E96C5A" w:rsidP="00E96C5A">
      <w:pPr>
        <w:pStyle w:val="AERbodytext"/>
        <w:keepNext/>
        <w:spacing w:after="120" w:line="240" w:lineRule="auto"/>
        <w:jc w:val="left"/>
        <w:rPr>
          <w:b/>
        </w:rPr>
      </w:pPr>
      <w:r w:rsidRPr="00181657">
        <w:rPr>
          <w:b/>
        </w:rPr>
        <w:t>Australian Energy Regulator</w:t>
      </w:r>
    </w:p>
    <w:p w:rsidR="00E96C5A" w:rsidRDefault="00765707" w:rsidP="003157C3">
      <w:r>
        <w:rPr>
          <w:b/>
        </w:rPr>
        <w:t xml:space="preserve">September </w:t>
      </w:r>
      <w:r w:rsidR="00E96C5A" w:rsidRPr="005F739F">
        <w:rPr>
          <w:b/>
        </w:rPr>
        <w:t>201</w:t>
      </w:r>
      <w:r w:rsidR="00E96C5A">
        <w:rPr>
          <w:b/>
        </w:rPr>
        <w:t>3</w:t>
      </w:r>
    </w:p>
    <w:sectPr w:rsidR="00E96C5A" w:rsidSect="00C71AAC">
      <w:footerReference w:type="default" r:id="rId25"/>
      <w:footerReference w:type="first" r:id="rId26"/>
      <w:type w:val="continuous"/>
      <w:pgSz w:w="11906" w:h="16838" w:code="9"/>
      <w:pgMar w:top="993"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4C1" w:rsidRDefault="002B74C1" w:rsidP="00BB640B">
      <w:r>
        <w:separator/>
      </w:r>
    </w:p>
    <w:p w:rsidR="002B74C1" w:rsidRDefault="002B74C1"/>
    <w:p w:rsidR="002B74C1" w:rsidRDefault="002B74C1"/>
  </w:endnote>
  <w:endnote w:type="continuationSeparator" w:id="0">
    <w:p w:rsidR="002B74C1" w:rsidRDefault="002B74C1" w:rsidP="00BB640B">
      <w:r>
        <w:continuationSeparator/>
      </w:r>
    </w:p>
    <w:p w:rsidR="002B74C1" w:rsidRDefault="002B74C1"/>
    <w:p w:rsidR="002B74C1" w:rsidRDefault="002B7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4C1" w:rsidRPr="00474107" w:rsidRDefault="002B74C1"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250C41">
      <w:rPr>
        <w:rStyle w:val="PageNumber"/>
        <w:noProof/>
      </w:rPr>
      <w:t>10</w:t>
    </w:r>
    <w:r>
      <w:rPr>
        <w:rStyle w:val="PageNumber"/>
      </w:rPr>
      <w:fldChar w:fldCharType="end"/>
    </w:r>
  </w:p>
  <w:p w:rsidR="002B74C1" w:rsidRPr="0097256D" w:rsidRDefault="002B74C1"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4C1" w:rsidRPr="00643F62" w:rsidRDefault="002B74C1"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Pr="00DE2FAA">
      <w:rPr>
        <w:i/>
      </w:rPr>
      <w:t>D13/125850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4C1" w:rsidRDefault="002B74C1" w:rsidP="00BB640B">
      <w:r>
        <w:separator/>
      </w:r>
    </w:p>
    <w:p w:rsidR="002B74C1" w:rsidRPr="00DB6729" w:rsidRDefault="002B74C1">
      <w:pPr>
        <w:rPr>
          <w:b/>
          <w:sz w:val="2"/>
        </w:rPr>
      </w:pPr>
    </w:p>
  </w:footnote>
  <w:footnote w:type="continuationSeparator" w:id="0">
    <w:p w:rsidR="002B74C1" w:rsidRDefault="002B74C1" w:rsidP="00BB640B">
      <w:r>
        <w:continuationSeparator/>
      </w:r>
    </w:p>
    <w:p w:rsidR="002B74C1" w:rsidRDefault="002B74C1"/>
  </w:footnote>
  <w:footnote w:id="1">
    <w:p w:rsidR="002B74C1" w:rsidRDefault="002B74C1">
      <w:pPr>
        <w:pStyle w:val="FootnoteText"/>
      </w:pPr>
      <w:r>
        <w:rPr>
          <w:rStyle w:val="FootnoteReference"/>
        </w:rPr>
        <w:footnoteRef/>
      </w:r>
      <w:r>
        <w:t xml:space="preserve"> </w:t>
      </w:r>
      <w:r w:rsidRPr="002B74C1">
        <w:rPr>
          <w:rStyle w:val="AERbodytextChar"/>
          <w:sz w:val="16"/>
          <w:szCs w:val="16"/>
        </w:rPr>
        <w:t xml:space="preserve">Note that this figure excludes generation that is currently mothballed such as 700 MW at Stanwell’s </w:t>
      </w:r>
      <w:proofErr w:type="spellStart"/>
      <w:r w:rsidRPr="002B74C1">
        <w:rPr>
          <w:rStyle w:val="AERbodytextChar"/>
          <w:sz w:val="16"/>
          <w:szCs w:val="16"/>
        </w:rPr>
        <w:t>Tarong</w:t>
      </w:r>
      <w:proofErr w:type="spellEnd"/>
      <w:r w:rsidRPr="002B74C1">
        <w:rPr>
          <w:rStyle w:val="AERbodytextChar"/>
          <w:sz w:val="16"/>
          <w:szCs w:val="16"/>
        </w:rPr>
        <w:t xml:space="preserve"> Power Station (unit 2 was mothballed in October 2012 and unit 4 was mothballed in December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52638E7"/>
    <w:multiLevelType w:val="hybridMultilevel"/>
    <w:tmpl w:val="6A2A4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8">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0">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309B593D"/>
    <w:multiLevelType w:val="hybridMultilevel"/>
    <w:tmpl w:val="A1B87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4684412"/>
    <w:multiLevelType w:val="hybridMultilevel"/>
    <w:tmpl w:val="5E5C8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721288"/>
    <w:multiLevelType w:val="multilevel"/>
    <w:tmpl w:val="1492709C"/>
    <w:numStyleLink w:val="AERHeadings"/>
  </w:abstractNum>
  <w:abstractNum w:abstractNumId="14">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5">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6">
    <w:nsid w:val="4AAC6154"/>
    <w:multiLevelType w:val="hybridMultilevel"/>
    <w:tmpl w:val="18C0C5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0935616"/>
    <w:multiLevelType w:val="hybridMultilevel"/>
    <w:tmpl w:val="6A4A2A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2">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23">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4">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22"/>
  </w:num>
  <w:num w:numId="3">
    <w:abstractNumId w:val="4"/>
  </w:num>
  <w:num w:numId="4">
    <w:abstractNumId w:val="15"/>
  </w:num>
  <w:num w:numId="5">
    <w:abstractNumId w:val="10"/>
  </w:num>
  <w:num w:numId="6">
    <w:abstractNumId w:val="23"/>
  </w:num>
  <w:num w:numId="7">
    <w:abstractNumId w:val="26"/>
  </w:num>
  <w:num w:numId="8">
    <w:abstractNumId w:val="28"/>
  </w:num>
  <w:num w:numId="9">
    <w:abstractNumId w:val="6"/>
  </w:num>
  <w:num w:numId="10">
    <w:abstractNumId w:val="9"/>
  </w:num>
  <w:num w:numId="11">
    <w:abstractNumId w:val="7"/>
  </w:num>
  <w:num w:numId="12">
    <w:abstractNumId w:val="19"/>
  </w:num>
  <w:num w:numId="13">
    <w:abstractNumId w:val="13"/>
  </w:num>
  <w:num w:numId="14">
    <w:abstractNumId w:val="14"/>
  </w:num>
  <w:num w:numId="15">
    <w:abstractNumId w:val="27"/>
  </w:num>
  <w:num w:numId="16">
    <w:abstractNumId w:val="17"/>
  </w:num>
  <w:num w:numId="17">
    <w:abstractNumId w:val="25"/>
  </w:num>
  <w:num w:numId="18">
    <w:abstractNumId w:val="21"/>
  </w:num>
  <w:num w:numId="19">
    <w:abstractNumId w:val="1"/>
  </w:num>
  <w:num w:numId="20">
    <w:abstractNumId w:val="13"/>
  </w:num>
  <w:num w:numId="21">
    <w:abstractNumId w:val="13"/>
  </w:num>
  <w:num w:numId="22">
    <w:abstractNumId w:val="13"/>
  </w:num>
  <w:num w:numId="23">
    <w:abstractNumId w:val="2"/>
  </w:num>
  <w:num w:numId="24">
    <w:abstractNumId w:val="26"/>
  </w:num>
  <w:num w:numId="25">
    <w:abstractNumId w:val="26"/>
  </w:num>
  <w:num w:numId="26">
    <w:abstractNumId w:val="26"/>
  </w:num>
  <w:num w:numId="27">
    <w:abstractNumId w:val="26"/>
  </w:num>
  <w:num w:numId="28">
    <w:abstractNumId w:val="0"/>
  </w:num>
  <w:num w:numId="29">
    <w:abstractNumId w:val="20"/>
  </w:num>
  <w:num w:numId="30">
    <w:abstractNumId w:val="26"/>
  </w:num>
  <w:num w:numId="31">
    <w:abstractNumId w:val="26"/>
  </w:num>
  <w:num w:numId="32">
    <w:abstractNumId w:val="26"/>
  </w:num>
  <w:num w:numId="33">
    <w:abstractNumId w:val="26"/>
  </w:num>
  <w:num w:numId="34">
    <w:abstractNumId w:val="26"/>
  </w:num>
  <w:num w:numId="35">
    <w:abstractNumId w:val="13"/>
  </w:num>
  <w:num w:numId="36">
    <w:abstractNumId w:val="26"/>
  </w:num>
  <w:num w:numId="37">
    <w:abstractNumId w:val="13"/>
  </w:num>
  <w:num w:numId="38">
    <w:abstractNumId w:val="8"/>
  </w:num>
  <w:num w:numId="39">
    <w:abstractNumId w:val="26"/>
  </w:num>
  <w:num w:numId="40">
    <w:abstractNumId w:val="26"/>
  </w:num>
  <w:num w:numId="41">
    <w:abstractNumId w:val="24"/>
  </w:num>
  <w:num w:numId="42">
    <w:abstractNumId w:val="7"/>
  </w:num>
  <w:num w:numId="43">
    <w:abstractNumId w:val="26"/>
  </w:num>
  <w:num w:numId="44">
    <w:abstractNumId w:val="12"/>
  </w:num>
  <w:num w:numId="45">
    <w:abstractNumId w:val="18"/>
  </w:num>
  <w:num w:numId="46">
    <w:abstractNumId w:val="16"/>
  </w:num>
  <w:num w:numId="47">
    <w:abstractNumId w:val="3"/>
  </w:num>
  <w:num w:numId="48">
    <w:abstractNumId w:val="11"/>
  </w:num>
  <w:num w:numId="49">
    <w:abstractNumId w:val="7"/>
  </w:num>
  <w:num w:numId="5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805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adrae\20130825-20130831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3BC"/>
    <w:rsid w:val="00006681"/>
    <w:rsid w:val="000066D8"/>
    <w:rsid w:val="000068EC"/>
    <w:rsid w:val="00006CB5"/>
    <w:rsid w:val="00006E66"/>
    <w:rsid w:val="000070D2"/>
    <w:rsid w:val="000078B2"/>
    <w:rsid w:val="00007A05"/>
    <w:rsid w:val="00007DEC"/>
    <w:rsid w:val="00010C72"/>
    <w:rsid w:val="000110D5"/>
    <w:rsid w:val="000110E1"/>
    <w:rsid w:val="00011751"/>
    <w:rsid w:val="00011913"/>
    <w:rsid w:val="00011D51"/>
    <w:rsid w:val="000125FD"/>
    <w:rsid w:val="0001277E"/>
    <w:rsid w:val="00012C8B"/>
    <w:rsid w:val="0001307D"/>
    <w:rsid w:val="000139F3"/>
    <w:rsid w:val="00013D73"/>
    <w:rsid w:val="000140DC"/>
    <w:rsid w:val="00014B8F"/>
    <w:rsid w:val="00015040"/>
    <w:rsid w:val="00015050"/>
    <w:rsid w:val="000155BC"/>
    <w:rsid w:val="000158C2"/>
    <w:rsid w:val="000161BF"/>
    <w:rsid w:val="000163E1"/>
    <w:rsid w:val="00016924"/>
    <w:rsid w:val="00016DEF"/>
    <w:rsid w:val="00016E96"/>
    <w:rsid w:val="00017634"/>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EC1"/>
    <w:rsid w:val="00025D45"/>
    <w:rsid w:val="00025E0E"/>
    <w:rsid w:val="0002602A"/>
    <w:rsid w:val="000260E2"/>
    <w:rsid w:val="000261A3"/>
    <w:rsid w:val="000261BD"/>
    <w:rsid w:val="0002626E"/>
    <w:rsid w:val="000267ED"/>
    <w:rsid w:val="00026C3A"/>
    <w:rsid w:val="00026D93"/>
    <w:rsid w:val="0002765A"/>
    <w:rsid w:val="000277D9"/>
    <w:rsid w:val="0003021A"/>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370"/>
    <w:rsid w:val="000579A7"/>
    <w:rsid w:val="000579EA"/>
    <w:rsid w:val="00057A0F"/>
    <w:rsid w:val="00057A4B"/>
    <w:rsid w:val="00060369"/>
    <w:rsid w:val="000603B4"/>
    <w:rsid w:val="000604E0"/>
    <w:rsid w:val="00060A54"/>
    <w:rsid w:val="00060F51"/>
    <w:rsid w:val="00061148"/>
    <w:rsid w:val="00061E11"/>
    <w:rsid w:val="00061EBD"/>
    <w:rsid w:val="00062054"/>
    <w:rsid w:val="00062147"/>
    <w:rsid w:val="000622F1"/>
    <w:rsid w:val="000629AD"/>
    <w:rsid w:val="00062A21"/>
    <w:rsid w:val="00062B23"/>
    <w:rsid w:val="00062B49"/>
    <w:rsid w:val="00062B82"/>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67C"/>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BB"/>
    <w:rsid w:val="000802F6"/>
    <w:rsid w:val="00080370"/>
    <w:rsid w:val="0008044E"/>
    <w:rsid w:val="0008060E"/>
    <w:rsid w:val="00081D6B"/>
    <w:rsid w:val="00081DB5"/>
    <w:rsid w:val="000820D3"/>
    <w:rsid w:val="00082328"/>
    <w:rsid w:val="00082339"/>
    <w:rsid w:val="000825A8"/>
    <w:rsid w:val="00082706"/>
    <w:rsid w:val="0008294E"/>
    <w:rsid w:val="00082AD7"/>
    <w:rsid w:val="00082F32"/>
    <w:rsid w:val="00082FA8"/>
    <w:rsid w:val="00083030"/>
    <w:rsid w:val="000831D9"/>
    <w:rsid w:val="00083645"/>
    <w:rsid w:val="00083947"/>
    <w:rsid w:val="00083B2D"/>
    <w:rsid w:val="00083C2C"/>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3AE1"/>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5A31"/>
    <w:rsid w:val="000A6077"/>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76DA"/>
    <w:rsid w:val="000B7FD3"/>
    <w:rsid w:val="000C0570"/>
    <w:rsid w:val="000C0A21"/>
    <w:rsid w:val="000C1618"/>
    <w:rsid w:val="000C179C"/>
    <w:rsid w:val="000C17CF"/>
    <w:rsid w:val="000C1BBA"/>
    <w:rsid w:val="000C2649"/>
    <w:rsid w:val="000C26A7"/>
    <w:rsid w:val="000C2907"/>
    <w:rsid w:val="000C299A"/>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0E4"/>
    <w:rsid w:val="000C561A"/>
    <w:rsid w:val="000C5D23"/>
    <w:rsid w:val="000C5D88"/>
    <w:rsid w:val="000C606D"/>
    <w:rsid w:val="000C608B"/>
    <w:rsid w:val="000C6180"/>
    <w:rsid w:val="000C65BC"/>
    <w:rsid w:val="000C6CB7"/>
    <w:rsid w:val="000C7A04"/>
    <w:rsid w:val="000C7C7F"/>
    <w:rsid w:val="000D00E7"/>
    <w:rsid w:val="000D039C"/>
    <w:rsid w:val="000D03EF"/>
    <w:rsid w:val="000D066B"/>
    <w:rsid w:val="000D08EF"/>
    <w:rsid w:val="000D0913"/>
    <w:rsid w:val="000D11CB"/>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784"/>
    <w:rsid w:val="000D6940"/>
    <w:rsid w:val="000D6F12"/>
    <w:rsid w:val="000D752A"/>
    <w:rsid w:val="000D756E"/>
    <w:rsid w:val="000D78E6"/>
    <w:rsid w:val="000E0840"/>
    <w:rsid w:val="000E0AF5"/>
    <w:rsid w:val="000E0BF3"/>
    <w:rsid w:val="000E0C64"/>
    <w:rsid w:val="000E1281"/>
    <w:rsid w:val="000E1820"/>
    <w:rsid w:val="000E1982"/>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DA2"/>
    <w:rsid w:val="000F6F6F"/>
    <w:rsid w:val="000F7093"/>
    <w:rsid w:val="000F713F"/>
    <w:rsid w:val="000F790F"/>
    <w:rsid w:val="000F7CC6"/>
    <w:rsid w:val="000F7FFD"/>
    <w:rsid w:val="00100118"/>
    <w:rsid w:val="00100299"/>
    <w:rsid w:val="001005F2"/>
    <w:rsid w:val="00100D7C"/>
    <w:rsid w:val="00100E58"/>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3FE9"/>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09F"/>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2B5D"/>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0F5E"/>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55E1"/>
    <w:rsid w:val="00175886"/>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F2D"/>
    <w:rsid w:val="001A0F7D"/>
    <w:rsid w:val="001A102E"/>
    <w:rsid w:val="001A10B2"/>
    <w:rsid w:val="001A13D7"/>
    <w:rsid w:val="001A1B18"/>
    <w:rsid w:val="001A1D2B"/>
    <w:rsid w:val="001A2303"/>
    <w:rsid w:val="001A2507"/>
    <w:rsid w:val="001A254B"/>
    <w:rsid w:val="001A2B58"/>
    <w:rsid w:val="001A3753"/>
    <w:rsid w:val="001A3A7F"/>
    <w:rsid w:val="001A3C0E"/>
    <w:rsid w:val="001A3D8C"/>
    <w:rsid w:val="001A3EF1"/>
    <w:rsid w:val="001A4422"/>
    <w:rsid w:val="001A52FF"/>
    <w:rsid w:val="001A5728"/>
    <w:rsid w:val="001A5786"/>
    <w:rsid w:val="001A5942"/>
    <w:rsid w:val="001A5C13"/>
    <w:rsid w:val="001A6378"/>
    <w:rsid w:val="001A65E3"/>
    <w:rsid w:val="001A67C9"/>
    <w:rsid w:val="001A6867"/>
    <w:rsid w:val="001A6A96"/>
    <w:rsid w:val="001A7245"/>
    <w:rsid w:val="001A72F2"/>
    <w:rsid w:val="001A74C3"/>
    <w:rsid w:val="001A7598"/>
    <w:rsid w:val="001A75C2"/>
    <w:rsid w:val="001A7617"/>
    <w:rsid w:val="001A7ADD"/>
    <w:rsid w:val="001B0238"/>
    <w:rsid w:val="001B08F0"/>
    <w:rsid w:val="001B09ED"/>
    <w:rsid w:val="001B0F0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4030"/>
    <w:rsid w:val="001E48D4"/>
    <w:rsid w:val="001E4CAD"/>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46B"/>
    <w:rsid w:val="002076A5"/>
    <w:rsid w:val="00207B67"/>
    <w:rsid w:val="00210403"/>
    <w:rsid w:val="00210A3D"/>
    <w:rsid w:val="00210FB5"/>
    <w:rsid w:val="002114AF"/>
    <w:rsid w:val="002119A0"/>
    <w:rsid w:val="002121B9"/>
    <w:rsid w:val="00212261"/>
    <w:rsid w:val="0021246E"/>
    <w:rsid w:val="00212B63"/>
    <w:rsid w:val="00212D2F"/>
    <w:rsid w:val="00213289"/>
    <w:rsid w:val="002133F3"/>
    <w:rsid w:val="002137C5"/>
    <w:rsid w:val="00213B6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C5F"/>
    <w:rsid w:val="00232D66"/>
    <w:rsid w:val="00233094"/>
    <w:rsid w:val="002330C0"/>
    <w:rsid w:val="002332D6"/>
    <w:rsid w:val="00233614"/>
    <w:rsid w:val="00233708"/>
    <w:rsid w:val="002343C1"/>
    <w:rsid w:val="0023473B"/>
    <w:rsid w:val="00235171"/>
    <w:rsid w:val="0023567C"/>
    <w:rsid w:val="002356E7"/>
    <w:rsid w:val="00235D0E"/>
    <w:rsid w:val="0023612A"/>
    <w:rsid w:val="002361F8"/>
    <w:rsid w:val="00236A4B"/>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A34"/>
    <w:rsid w:val="002468B8"/>
    <w:rsid w:val="00246BC1"/>
    <w:rsid w:val="00247723"/>
    <w:rsid w:val="002477F5"/>
    <w:rsid w:val="00247877"/>
    <w:rsid w:val="00250091"/>
    <w:rsid w:val="002500F7"/>
    <w:rsid w:val="00250792"/>
    <w:rsid w:val="00250C41"/>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BC7"/>
    <w:rsid w:val="00263D22"/>
    <w:rsid w:val="0026403E"/>
    <w:rsid w:val="0026465E"/>
    <w:rsid w:val="00264C84"/>
    <w:rsid w:val="00264E53"/>
    <w:rsid w:val="00264F56"/>
    <w:rsid w:val="0026518C"/>
    <w:rsid w:val="00265D33"/>
    <w:rsid w:val="00265F71"/>
    <w:rsid w:val="0026670E"/>
    <w:rsid w:val="00266768"/>
    <w:rsid w:val="002667E3"/>
    <w:rsid w:val="00266A39"/>
    <w:rsid w:val="00266B8B"/>
    <w:rsid w:val="00266CBB"/>
    <w:rsid w:val="00266F2A"/>
    <w:rsid w:val="002670AE"/>
    <w:rsid w:val="00267995"/>
    <w:rsid w:val="00270123"/>
    <w:rsid w:val="00270A21"/>
    <w:rsid w:val="00270BD0"/>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4D9"/>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7A6"/>
    <w:rsid w:val="002B0880"/>
    <w:rsid w:val="002B0CC5"/>
    <w:rsid w:val="002B1046"/>
    <w:rsid w:val="002B132D"/>
    <w:rsid w:val="002B1376"/>
    <w:rsid w:val="002B1394"/>
    <w:rsid w:val="002B19AF"/>
    <w:rsid w:val="002B240B"/>
    <w:rsid w:val="002B2603"/>
    <w:rsid w:val="002B27E8"/>
    <w:rsid w:val="002B2B80"/>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03A"/>
    <w:rsid w:val="002B7160"/>
    <w:rsid w:val="002B74C1"/>
    <w:rsid w:val="002B7CC1"/>
    <w:rsid w:val="002B7F40"/>
    <w:rsid w:val="002C0228"/>
    <w:rsid w:val="002C0690"/>
    <w:rsid w:val="002C073B"/>
    <w:rsid w:val="002C130A"/>
    <w:rsid w:val="002C147F"/>
    <w:rsid w:val="002C1694"/>
    <w:rsid w:val="002C1B4D"/>
    <w:rsid w:val="002C1BD6"/>
    <w:rsid w:val="002C1E20"/>
    <w:rsid w:val="002C1E42"/>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C2"/>
    <w:rsid w:val="002D0251"/>
    <w:rsid w:val="002D072D"/>
    <w:rsid w:val="002D13D1"/>
    <w:rsid w:val="002D1824"/>
    <w:rsid w:val="002D1B14"/>
    <w:rsid w:val="002D1F01"/>
    <w:rsid w:val="002D228F"/>
    <w:rsid w:val="002D2448"/>
    <w:rsid w:val="002D2A35"/>
    <w:rsid w:val="002D30D5"/>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095"/>
    <w:rsid w:val="002E21B5"/>
    <w:rsid w:val="002E22A9"/>
    <w:rsid w:val="002E24F6"/>
    <w:rsid w:val="002E2C0E"/>
    <w:rsid w:val="002E2DB9"/>
    <w:rsid w:val="002E3024"/>
    <w:rsid w:val="002E3072"/>
    <w:rsid w:val="002E3127"/>
    <w:rsid w:val="002E3425"/>
    <w:rsid w:val="002E3565"/>
    <w:rsid w:val="002E37BD"/>
    <w:rsid w:val="002E3ABB"/>
    <w:rsid w:val="002E4263"/>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E7B65"/>
    <w:rsid w:val="002F000A"/>
    <w:rsid w:val="002F028D"/>
    <w:rsid w:val="002F0541"/>
    <w:rsid w:val="002F05B0"/>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1BC"/>
    <w:rsid w:val="0032756C"/>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62"/>
    <w:rsid w:val="003560C9"/>
    <w:rsid w:val="0035621E"/>
    <w:rsid w:val="00356758"/>
    <w:rsid w:val="0035692B"/>
    <w:rsid w:val="00357CFB"/>
    <w:rsid w:val="00357D7F"/>
    <w:rsid w:val="003600DB"/>
    <w:rsid w:val="003602B6"/>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0B0"/>
    <w:rsid w:val="00365101"/>
    <w:rsid w:val="0036559F"/>
    <w:rsid w:val="003663D5"/>
    <w:rsid w:val="0036646E"/>
    <w:rsid w:val="00366478"/>
    <w:rsid w:val="00366684"/>
    <w:rsid w:val="00366AC3"/>
    <w:rsid w:val="00366C20"/>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76F"/>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97E3D"/>
    <w:rsid w:val="003A12D3"/>
    <w:rsid w:val="003A182D"/>
    <w:rsid w:val="003A19B7"/>
    <w:rsid w:val="003A1E6B"/>
    <w:rsid w:val="003A2E14"/>
    <w:rsid w:val="003A309A"/>
    <w:rsid w:val="003A3778"/>
    <w:rsid w:val="003A407A"/>
    <w:rsid w:val="003A4158"/>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840"/>
    <w:rsid w:val="003B5AD5"/>
    <w:rsid w:val="003B5E45"/>
    <w:rsid w:val="003B64EB"/>
    <w:rsid w:val="003B67BD"/>
    <w:rsid w:val="003B6814"/>
    <w:rsid w:val="003B7158"/>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A8A"/>
    <w:rsid w:val="003D0B3A"/>
    <w:rsid w:val="003D0B72"/>
    <w:rsid w:val="003D0C60"/>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6FB3"/>
    <w:rsid w:val="003D728D"/>
    <w:rsid w:val="003D76C7"/>
    <w:rsid w:val="003D7D6E"/>
    <w:rsid w:val="003D7FE3"/>
    <w:rsid w:val="003E0363"/>
    <w:rsid w:val="003E0819"/>
    <w:rsid w:val="003E0F59"/>
    <w:rsid w:val="003E118B"/>
    <w:rsid w:val="003E159D"/>
    <w:rsid w:val="003E160A"/>
    <w:rsid w:val="003E1A13"/>
    <w:rsid w:val="003E1C91"/>
    <w:rsid w:val="003E1E57"/>
    <w:rsid w:val="003E21AE"/>
    <w:rsid w:val="003E2505"/>
    <w:rsid w:val="003E27C0"/>
    <w:rsid w:val="003E38E2"/>
    <w:rsid w:val="003E3D7B"/>
    <w:rsid w:val="003E4A9C"/>
    <w:rsid w:val="003E4FA0"/>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3F7F49"/>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98C"/>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2FCF"/>
    <w:rsid w:val="004235C3"/>
    <w:rsid w:val="00423DD6"/>
    <w:rsid w:val="0042428C"/>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27FE0"/>
    <w:rsid w:val="00430216"/>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190C"/>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67D11"/>
    <w:rsid w:val="00470218"/>
    <w:rsid w:val="00470372"/>
    <w:rsid w:val="004708B5"/>
    <w:rsid w:val="00470AD1"/>
    <w:rsid w:val="00470E63"/>
    <w:rsid w:val="00470FB7"/>
    <w:rsid w:val="0047113A"/>
    <w:rsid w:val="004716F5"/>
    <w:rsid w:val="004725DB"/>
    <w:rsid w:val="00472756"/>
    <w:rsid w:val="00472847"/>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E36"/>
    <w:rsid w:val="004848E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36A"/>
    <w:rsid w:val="004A172F"/>
    <w:rsid w:val="004A1AEB"/>
    <w:rsid w:val="004A1C0C"/>
    <w:rsid w:val="004A1C61"/>
    <w:rsid w:val="004A2364"/>
    <w:rsid w:val="004A25A3"/>
    <w:rsid w:val="004A29E0"/>
    <w:rsid w:val="004A2C76"/>
    <w:rsid w:val="004A2F30"/>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60C"/>
    <w:rsid w:val="004B5B15"/>
    <w:rsid w:val="004B6380"/>
    <w:rsid w:val="004B642C"/>
    <w:rsid w:val="004B6834"/>
    <w:rsid w:val="004B6B52"/>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0F8"/>
    <w:rsid w:val="004C74EF"/>
    <w:rsid w:val="004C7733"/>
    <w:rsid w:val="004C7C32"/>
    <w:rsid w:val="004D018C"/>
    <w:rsid w:val="004D044A"/>
    <w:rsid w:val="004D0D22"/>
    <w:rsid w:val="004D0E95"/>
    <w:rsid w:val="004D1CED"/>
    <w:rsid w:val="004D1E28"/>
    <w:rsid w:val="004D1F6C"/>
    <w:rsid w:val="004D2442"/>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E"/>
    <w:rsid w:val="004F751B"/>
    <w:rsid w:val="004F7880"/>
    <w:rsid w:val="004F79E6"/>
    <w:rsid w:val="0050010F"/>
    <w:rsid w:val="00500A95"/>
    <w:rsid w:val="00500F56"/>
    <w:rsid w:val="005013D1"/>
    <w:rsid w:val="00501659"/>
    <w:rsid w:val="0050188E"/>
    <w:rsid w:val="005021A2"/>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E60"/>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647F"/>
    <w:rsid w:val="005364C2"/>
    <w:rsid w:val="00536559"/>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653"/>
    <w:rsid w:val="00557693"/>
    <w:rsid w:val="00557D2F"/>
    <w:rsid w:val="00557FB9"/>
    <w:rsid w:val="0056027E"/>
    <w:rsid w:val="00560644"/>
    <w:rsid w:val="0056077C"/>
    <w:rsid w:val="00560A7E"/>
    <w:rsid w:val="00560C4D"/>
    <w:rsid w:val="005613DA"/>
    <w:rsid w:val="00561A34"/>
    <w:rsid w:val="00562689"/>
    <w:rsid w:val="00562865"/>
    <w:rsid w:val="005633F0"/>
    <w:rsid w:val="00563633"/>
    <w:rsid w:val="005638A0"/>
    <w:rsid w:val="00563D2A"/>
    <w:rsid w:val="00564079"/>
    <w:rsid w:val="00564131"/>
    <w:rsid w:val="00564940"/>
    <w:rsid w:val="00564D91"/>
    <w:rsid w:val="00565874"/>
    <w:rsid w:val="005659C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51E"/>
    <w:rsid w:val="00594574"/>
    <w:rsid w:val="00594DA0"/>
    <w:rsid w:val="005958DD"/>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C37"/>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83E"/>
    <w:rsid w:val="005D4B3D"/>
    <w:rsid w:val="005D4B4D"/>
    <w:rsid w:val="005D57DB"/>
    <w:rsid w:val="005D5A53"/>
    <w:rsid w:val="005D5A60"/>
    <w:rsid w:val="005D5B4C"/>
    <w:rsid w:val="005D5CAC"/>
    <w:rsid w:val="005D6052"/>
    <w:rsid w:val="005D69D3"/>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5EB"/>
    <w:rsid w:val="005E6734"/>
    <w:rsid w:val="005E689A"/>
    <w:rsid w:val="005E7374"/>
    <w:rsid w:val="005E76AF"/>
    <w:rsid w:val="005E78D0"/>
    <w:rsid w:val="005F045B"/>
    <w:rsid w:val="005F0478"/>
    <w:rsid w:val="005F04CC"/>
    <w:rsid w:val="005F087F"/>
    <w:rsid w:val="005F08D9"/>
    <w:rsid w:val="005F0974"/>
    <w:rsid w:val="005F0FF8"/>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EC4"/>
    <w:rsid w:val="005F6039"/>
    <w:rsid w:val="005F63E2"/>
    <w:rsid w:val="005F65B1"/>
    <w:rsid w:val="005F69EA"/>
    <w:rsid w:val="005F6B40"/>
    <w:rsid w:val="005F6C50"/>
    <w:rsid w:val="005F739F"/>
    <w:rsid w:val="005F745C"/>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C09"/>
    <w:rsid w:val="0061200D"/>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60A"/>
    <w:rsid w:val="00660813"/>
    <w:rsid w:val="0066120B"/>
    <w:rsid w:val="006613D4"/>
    <w:rsid w:val="0066144B"/>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6857"/>
    <w:rsid w:val="0067770F"/>
    <w:rsid w:val="0068048E"/>
    <w:rsid w:val="00680A7D"/>
    <w:rsid w:val="00681D8A"/>
    <w:rsid w:val="00681FCF"/>
    <w:rsid w:val="00682161"/>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07E"/>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1AF"/>
    <w:rsid w:val="006A2C46"/>
    <w:rsid w:val="006A2F25"/>
    <w:rsid w:val="006A39F1"/>
    <w:rsid w:val="006A4343"/>
    <w:rsid w:val="006A498A"/>
    <w:rsid w:val="006A5246"/>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5BF7"/>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A4C"/>
    <w:rsid w:val="006E091D"/>
    <w:rsid w:val="006E0B17"/>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6F7ED9"/>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4A8B"/>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9D1"/>
    <w:rsid w:val="00735A94"/>
    <w:rsid w:val="00735D4E"/>
    <w:rsid w:val="00735FCF"/>
    <w:rsid w:val="007360C8"/>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BA6"/>
    <w:rsid w:val="00753C35"/>
    <w:rsid w:val="00753DF7"/>
    <w:rsid w:val="007541EB"/>
    <w:rsid w:val="0075430F"/>
    <w:rsid w:val="007545C4"/>
    <w:rsid w:val="00754838"/>
    <w:rsid w:val="007556DA"/>
    <w:rsid w:val="00755E44"/>
    <w:rsid w:val="00755FF8"/>
    <w:rsid w:val="00756090"/>
    <w:rsid w:val="0075673C"/>
    <w:rsid w:val="00756C25"/>
    <w:rsid w:val="0075718E"/>
    <w:rsid w:val="007574E5"/>
    <w:rsid w:val="00757DCD"/>
    <w:rsid w:val="007600E7"/>
    <w:rsid w:val="00760268"/>
    <w:rsid w:val="0076033D"/>
    <w:rsid w:val="00760D78"/>
    <w:rsid w:val="00760DF2"/>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EC0"/>
    <w:rsid w:val="0078091A"/>
    <w:rsid w:val="00780E21"/>
    <w:rsid w:val="00781024"/>
    <w:rsid w:val="007816EF"/>
    <w:rsid w:val="00781D7E"/>
    <w:rsid w:val="00781F08"/>
    <w:rsid w:val="00781FF3"/>
    <w:rsid w:val="00782451"/>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4E0"/>
    <w:rsid w:val="00793629"/>
    <w:rsid w:val="007937F3"/>
    <w:rsid w:val="0079386D"/>
    <w:rsid w:val="00793A32"/>
    <w:rsid w:val="00793CDA"/>
    <w:rsid w:val="00793E6A"/>
    <w:rsid w:val="00793FDF"/>
    <w:rsid w:val="0079443A"/>
    <w:rsid w:val="0079467C"/>
    <w:rsid w:val="00794862"/>
    <w:rsid w:val="0079488C"/>
    <w:rsid w:val="00794B2C"/>
    <w:rsid w:val="007951F2"/>
    <w:rsid w:val="007952F1"/>
    <w:rsid w:val="00795E1B"/>
    <w:rsid w:val="007965A0"/>
    <w:rsid w:val="00796658"/>
    <w:rsid w:val="00796BD8"/>
    <w:rsid w:val="00796F96"/>
    <w:rsid w:val="0079781C"/>
    <w:rsid w:val="007979F5"/>
    <w:rsid w:val="007A013E"/>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054"/>
    <w:rsid w:val="007C56F6"/>
    <w:rsid w:val="007C5C0C"/>
    <w:rsid w:val="007C5E2A"/>
    <w:rsid w:val="007C5EB3"/>
    <w:rsid w:val="007C5EED"/>
    <w:rsid w:val="007C6249"/>
    <w:rsid w:val="007C659D"/>
    <w:rsid w:val="007C6B42"/>
    <w:rsid w:val="007C70FF"/>
    <w:rsid w:val="007C747C"/>
    <w:rsid w:val="007C74E7"/>
    <w:rsid w:val="007C7FD7"/>
    <w:rsid w:val="007D0203"/>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F0009"/>
    <w:rsid w:val="007F02B6"/>
    <w:rsid w:val="007F0713"/>
    <w:rsid w:val="007F077B"/>
    <w:rsid w:val="007F0F13"/>
    <w:rsid w:val="007F122C"/>
    <w:rsid w:val="007F1488"/>
    <w:rsid w:val="007F283C"/>
    <w:rsid w:val="007F2A6C"/>
    <w:rsid w:val="007F2BF4"/>
    <w:rsid w:val="007F2EB6"/>
    <w:rsid w:val="007F2FA7"/>
    <w:rsid w:val="007F2FB0"/>
    <w:rsid w:val="007F313B"/>
    <w:rsid w:val="007F32F8"/>
    <w:rsid w:val="007F3847"/>
    <w:rsid w:val="007F3AA5"/>
    <w:rsid w:val="007F467D"/>
    <w:rsid w:val="007F4AFA"/>
    <w:rsid w:val="007F4B7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4D"/>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EAA"/>
    <w:rsid w:val="0081322C"/>
    <w:rsid w:val="008132D5"/>
    <w:rsid w:val="00813404"/>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39D"/>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95F"/>
    <w:rsid w:val="008E2A68"/>
    <w:rsid w:val="008E2E67"/>
    <w:rsid w:val="008E2E82"/>
    <w:rsid w:val="008E38D6"/>
    <w:rsid w:val="008E3B83"/>
    <w:rsid w:val="008E3EE6"/>
    <w:rsid w:val="008E4485"/>
    <w:rsid w:val="008E473E"/>
    <w:rsid w:val="008E4943"/>
    <w:rsid w:val="008E4A64"/>
    <w:rsid w:val="008E4D88"/>
    <w:rsid w:val="008E536B"/>
    <w:rsid w:val="008E545E"/>
    <w:rsid w:val="008E55E8"/>
    <w:rsid w:val="008E5B64"/>
    <w:rsid w:val="008E5FBA"/>
    <w:rsid w:val="008E6524"/>
    <w:rsid w:val="008E6657"/>
    <w:rsid w:val="008E6996"/>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2D"/>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3D1"/>
    <w:rsid w:val="0094243D"/>
    <w:rsid w:val="009424CD"/>
    <w:rsid w:val="00942856"/>
    <w:rsid w:val="009428AF"/>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292"/>
    <w:rsid w:val="009A066E"/>
    <w:rsid w:val="009A0718"/>
    <w:rsid w:val="009A095E"/>
    <w:rsid w:val="009A0D7B"/>
    <w:rsid w:val="009A1266"/>
    <w:rsid w:val="009A1305"/>
    <w:rsid w:val="009A16B3"/>
    <w:rsid w:val="009A1AC6"/>
    <w:rsid w:val="009A1B27"/>
    <w:rsid w:val="009A1F1B"/>
    <w:rsid w:val="009A218D"/>
    <w:rsid w:val="009A22BB"/>
    <w:rsid w:val="009A24B8"/>
    <w:rsid w:val="009A2B2C"/>
    <w:rsid w:val="009A2E65"/>
    <w:rsid w:val="009A2F00"/>
    <w:rsid w:val="009A3014"/>
    <w:rsid w:val="009A309B"/>
    <w:rsid w:val="009A334E"/>
    <w:rsid w:val="009A3636"/>
    <w:rsid w:val="009A385E"/>
    <w:rsid w:val="009A404A"/>
    <w:rsid w:val="009A4096"/>
    <w:rsid w:val="009A4154"/>
    <w:rsid w:val="009A44DA"/>
    <w:rsid w:val="009A4549"/>
    <w:rsid w:val="009A4753"/>
    <w:rsid w:val="009A4853"/>
    <w:rsid w:val="009A4F47"/>
    <w:rsid w:val="009A545F"/>
    <w:rsid w:val="009A5CDF"/>
    <w:rsid w:val="009A6EC1"/>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1C5D"/>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91"/>
    <w:rsid w:val="009F249C"/>
    <w:rsid w:val="009F2875"/>
    <w:rsid w:val="009F335A"/>
    <w:rsid w:val="009F37B3"/>
    <w:rsid w:val="009F3AA4"/>
    <w:rsid w:val="009F46AF"/>
    <w:rsid w:val="009F4EAC"/>
    <w:rsid w:val="009F4F62"/>
    <w:rsid w:val="009F5112"/>
    <w:rsid w:val="009F63D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3E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92E"/>
    <w:rsid w:val="00A06C3F"/>
    <w:rsid w:val="00A06F87"/>
    <w:rsid w:val="00A06FEC"/>
    <w:rsid w:val="00A074DC"/>
    <w:rsid w:val="00A07F27"/>
    <w:rsid w:val="00A07F2D"/>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1FB"/>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376"/>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B46"/>
    <w:rsid w:val="00A80EAC"/>
    <w:rsid w:val="00A81A6A"/>
    <w:rsid w:val="00A81BA2"/>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3CF5"/>
    <w:rsid w:val="00A94115"/>
    <w:rsid w:val="00A94514"/>
    <w:rsid w:val="00A946F2"/>
    <w:rsid w:val="00A94A9C"/>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05E"/>
    <w:rsid w:val="00AB1627"/>
    <w:rsid w:val="00AB1736"/>
    <w:rsid w:val="00AB1D19"/>
    <w:rsid w:val="00AB1DE9"/>
    <w:rsid w:val="00AB2555"/>
    <w:rsid w:val="00AB29C3"/>
    <w:rsid w:val="00AB2A50"/>
    <w:rsid w:val="00AB2AA9"/>
    <w:rsid w:val="00AB2C86"/>
    <w:rsid w:val="00AB2EF2"/>
    <w:rsid w:val="00AB35E0"/>
    <w:rsid w:val="00AB364C"/>
    <w:rsid w:val="00AB36EA"/>
    <w:rsid w:val="00AB3B57"/>
    <w:rsid w:val="00AB3C36"/>
    <w:rsid w:val="00AB3F3F"/>
    <w:rsid w:val="00AB3FA3"/>
    <w:rsid w:val="00AB41CB"/>
    <w:rsid w:val="00AB4710"/>
    <w:rsid w:val="00AB489E"/>
    <w:rsid w:val="00AB4C0E"/>
    <w:rsid w:val="00AB4E2D"/>
    <w:rsid w:val="00AB639D"/>
    <w:rsid w:val="00AB6685"/>
    <w:rsid w:val="00AB6722"/>
    <w:rsid w:val="00AB682A"/>
    <w:rsid w:val="00AB6BB0"/>
    <w:rsid w:val="00AB6CF3"/>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4A24"/>
    <w:rsid w:val="00AD5062"/>
    <w:rsid w:val="00AD50B8"/>
    <w:rsid w:val="00AD54EB"/>
    <w:rsid w:val="00AD573D"/>
    <w:rsid w:val="00AD59BA"/>
    <w:rsid w:val="00AD5CFC"/>
    <w:rsid w:val="00AD60F4"/>
    <w:rsid w:val="00AD7302"/>
    <w:rsid w:val="00AD7C07"/>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71F4"/>
    <w:rsid w:val="00AE7B6B"/>
    <w:rsid w:val="00AF0243"/>
    <w:rsid w:val="00AF0418"/>
    <w:rsid w:val="00AF05A6"/>
    <w:rsid w:val="00AF114B"/>
    <w:rsid w:val="00AF1359"/>
    <w:rsid w:val="00AF16F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4585"/>
    <w:rsid w:val="00B145B0"/>
    <w:rsid w:val="00B14A7C"/>
    <w:rsid w:val="00B14BAA"/>
    <w:rsid w:val="00B14BFD"/>
    <w:rsid w:val="00B14F21"/>
    <w:rsid w:val="00B1561A"/>
    <w:rsid w:val="00B1582A"/>
    <w:rsid w:val="00B15B7A"/>
    <w:rsid w:val="00B15CA3"/>
    <w:rsid w:val="00B16028"/>
    <w:rsid w:val="00B16141"/>
    <w:rsid w:val="00B162B2"/>
    <w:rsid w:val="00B16549"/>
    <w:rsid w:val="00B16730"/>
    <w:rsid w:val="00B168AF"/>
    <w:rsid w:val="00B168E7"/>
    <w:rsid w:val="00B16E84"/>
    <w:rsid w:val="00B17113"/>
    <w:rsid w:val="00B1766F"/>
    <w:rsid w:val="00B17A3A"/>
    <w:rsid w:val="00B17D20"/>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30B"/>
    <w:rsid w:val="00B34471"/>
    <w:rsid w:val="00B34BB6"/>
    <w:rsid w:val="00B3512C"/>
    <w:rsid w:val="00B357CC"/>
    <w:rsid w:val="00B361AA"/>
    <w:rsid w:val="00B36262"/>
    <w:rsid w:val="00B362CE"/>
    <w:rsid w:val="00B3631C"/>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727"/>
    <w:rsid w:val="00B44A9E"/>
    <w:rsid w:val="00B44E9F"/>
    <w:rsid w:val="00B44FCF"/>
    <w:rsid w:val="00B45D87"/>
    <w:rsid w:val="00B462CF"/>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1AB"/>
    <w:rsid w:val="00B57256"/>
    <w:rsid w:val="00B575D9"/>
    <w:rsid w:val="00B576EB"/>
    <w:rsid w:val="00B600BB"/>
    <w:rsid w:val="00B601DD"/>
    <w:rsid w:val="00B6035E"/>
    <w:rsid w:val="00B60447"/>
    <w:rsid w:val="00B607BE"/>
    <w:rsid w:val="00B60B5C"/>
    <w:rsid w:val="00B61131"/>
    <w:rsid w:val="00B61156"/>
    <w:rsid w:val="00B6152E"/>
    <w:rsid w:val="00B61909"/>
    <w:rsid w:val="00B61BF6"/>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8A3"/>
    <w:rsid w:val="00B82CB6"/>
    <w:rsid w:val="00B82E2E"/>
    <w:rsid w:val="00B834AC"/>
    <w:rsid w:val="00B83661"/>
    <w:rsid w:val="00B83AD7"/>
    <w:rsid w:val="00B84055"/>
    <w:rsid w:val="00B84FCB"/>
    <w:rsid w:val="00B8513C"/>
    <w:rsid w:val="00B851CE"/>
    <w:rsid w:val="00B856CE"/>
    <w:rsid w:val="00B8598D"/>
    <w:rsid w:val="00B85C0E"/>
    <w:rsid w:val="00B860E8"/>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4244"/>
    <w:rsid w:val="00B9431C"/>
    <w:rsid w:val="00B94334"/>
    <w:rsid w:val="00B94BD6"/>
    <w:rsid w:val="00B94F5B"/>
    <w:rsid w:val="00B951A3"/>
    <w:rsid w:val="00B958C1"/>
    <w:rsid w:val="00B964FB"/>
    <w:rsid w:val="00B966DA"/>
    <w:rsid w:val="00B970A4"/>
    <w:rsid w:val="00B97112"/>
    <w:rsid w:val="00B97925"/>
    <w:rsid w:val="00BA0FF9"/>
    <w:rsid w:val="00BA1002"/>
    <w:rsid w:val="00BA1A7F"/>
    <w:rsid w:val="00BA1BB5"/>
    <w:rsid w:val="00BA1ECA"/>
    <w:rsid w:val="00BA273E"/>
    <w:rsid w:val="00BA2B93"/>
    <w:rsid w:val="00BA3B8E"/>
    <w:rsid w:val="00BA406F"/>
    <w:rsid w:val="00BA4381"/>
    <w:rsid w:val="00BA45A6"/>
    <w:rsid w:val="00BA4625"/>
    <w:rsid w:val="00BA4843"/>
    <w:rsid w:val="00BA537D"/>
    <w:rsid w:val="00BA5B64"/>
    <w:rsid w:val="00BA68B1"/>
    <w:rsid w:val="00BA6991"/>
    <w:rsid w:val="00BA6CE7"/>
    <w:rsid w:val="00BA705B"/>
    <w:rsid w:val="00BA7082"/>
    <w:rsid w:val="00BA7A07"/>
    <w:rsid w:val="00BA7A20"/>
    <w:rsid w:val="00BA7B10"/>
    <w:rsid w:val="00BA7C53"/>
    <w:rsid w:val="00BB00F8"/>
    <w:rsid w:val="00BB01E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6D68"/>
    <w:rsid w:val="00BB731D"/>
    <w:rsid w:val="00BB73EF"/>
    <w:rsid w:val="00BB7422"/>
    <w:rsid w:val="00BB76A6"/>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07B"/>
    <w:rsid w:val="00BE6465"/>
    <w:rsid w:val="00BE681B"/>
    <w:rsid w:val="00BE6A24"/>
    <w:rsid w:val="00BE7153"/>
    <w:rsid w:val="00BE734B"/>
    <w:rsid w:val="00BF02D4"/>
    <w:rsid w:val="00BF0337"/>
    <w:rsid w:val="00BF046B"/>
    <w:rsid w:val="00BF0893"/>
    <w:rsid w:val="00BF08DD"/>
    <w:rsid w:val="00BF0E65"/>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6DA"/>
    <w:rsid w:val="00C669A1"/>
    <w:rsid w:val="00C675E0"/>
    <w:rsid w:val="00C676C0"/>
    <w:rsid w:val="00C6775E"/>
    <w:rsid w:val="00C677F8"/>
    <w:rsid w:val="00C67BAA"/>
    <w:rsid w:val="00C67D87"/>
    <w:rsid w:val="00C700FA"/>
    <w:rsid w:val="00C7046E"/>
    <w:rsid w:val="00C714A2"/>
    <w:rsid w:val="00C71AAC"/>
    <w:rsid w:val="00C71EC0"/>
    <w:rsid w:val="00C71F27"/>
    <w:rsid w:val="00C72113"/>
    <w:rsid w:val="00C73666"/>
    <w:rsid w:val="00C73FF9"/>
    <w:rsid w:val="00C740F9"/>
    <w:rsid w:val="00C742E3"/>
    <w:rsid w:val="00C744E5"/>
    <w:rsid w:val="00C746EB"/>
    <w:rsid w:val="00C7486F"/>
    <w:rsid w:val="00C76044"/>
    <w:rsid w:val="00C760AA"/>
    <w:rsid w:val="00C7664E"/>
    <w:rsid w:val="00C76B7A"/>
    <w:rsid w:val="00C76C3A"/>
    <w:rsid w:val="00C76E9E"/>
    <w:rsid w:val="00C7761B"/>
    <w:rsid w:val="00C7770F"/>
    <w:rsid w:val="00C77B75"/>
    <w:rsid w:val="00C77C49"/>
    <w:rsid w:val="00C77DE6"/>
    <w:rsid w:val="00C77E42"/>
    <w:rsid w:val="00C77FD6"/>
    <w:rsid w:val="00C8013C"/>
    <w:rsid w:val="00C8044D"/>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6C2"/>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5"/>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E3"/>
    <w:rsid w:val="00CE7388"/>
    <w:rsid w:val="00CE7482"/>
    <w:rsid w:val="00CE7827"/>
    <w:rsid w:val="00CE7863"/>
    <w:rsid w:val="00CE7A0C"/>
    <w:rsid w:val="00CE7E75"/>
    <w:rsid w:val="00CF0EAE"/>
    <w:rsid w:val="00CF130E"/>
    <w:rsid w:val="00CF1339"/>
    <w:rsid w:val="00CF136F"/>
    <w:rsid w:val="00CF1747"/>
    <w:rsid w:val="00CF1C41"/>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0F"/>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045"/>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73E"/>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6DC"/>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99"/>
    <w:rsid w:val="00D50932"/>
    <w:rsid w:val="00D50D02"/>
    <w:rsid w:val="00D50E6F"/>
    <w:rsid w:val="00D511BB"/>
    <w:rsid w:val="00D5154D"/>
    <w:rsid w:val="00D51777"/>
    <w:rsid w:val="00D51812"/>
    <w:rsid w:val="00D51F3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C8E"/>
    <w:rsid w:val="00D60D9A"/>
    <w:rsid w:val="00D60F99"/>
    <w:rsid w:val="00D61AC3"/>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6F5"/>
    <w:rsid w:val="00D707D5"/>
    <w:rsid w:val="00D712CC"/>
    <w:rsid w:val="00D713A3"/>
    <w:rsid w:val="00D717F9"/>
    <w:rsid w:val="00D71907"/>
    <w:rsid w:val="00D71C57"/>
    <w:rsid w:val="00D71CE0"/>
    <w:rsid w:val="00D71DBA"/>
    <w:rsid w:val="00D72053"/>
    <w:rsid w:val="00D720EC"/>
    <w:rsid w:val="00D72125"/>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4EA"/>
    <w:rsid w:val="00DA3588"/>
    <w:rsid w:val="00DA3720"/>
    <w:rsid w:val="00DA3D21"/>
    <w:rsid w:val="00DA415D"/>
    <w:rsid w:val="00DA423F"/>
    <w:rsid w:val="00DA477A"/>
    <w:rsid w:val="00DA4CD3"/>
    <w:rsid w:val="00DA5675"/>
    <w:rsid w:val="00DA58CE"/>
    <w:rsid w:val="00DA5B49"/>
    <w:rsid w:val="00DA5E7C"/>
    <w:rsid w:val="00DA5F04"/>
    <w:rsid w:val="00DA60DC"/>
    <w:rsid w:val="00DA6553"/>
    <w:rsid w:val="00DA6E7A"/>
    <w:rsid w:val="00DA71BC"/>
    <w:rsid w:val="00DA7B2E"/>
    <w:rsid w:val="00DA7B9B"/>
    <w:rsid w:val="00DA7BAA"/>
    <w:rsid w:val="00DA7F94"/>
    <w:rsid w:val="00DB0103"/>
    <w:rsid w:val="00DB01D8"/>
    <w:rsid w:val="00DB06F6"/>
    <w:rsid w:val="00DB07CB"/>
    <w:rsid w:val="00DB0C6C"/>
    <w:rsid w:val="00DB0CAE"/>
    <w:rsid w:val="00DB0E40"/>
    <w:rsid w:val="00DB114C"/>
    <w:rsid w:val="00DB172E"/>
    <w:rsid w:val="00DB1A5E"/>
    <w:rsid w:val="00DB1E0F"/>
    <w:rsid w:val="00DB221C"/>
    <w:rsid w:val="00DB269F"/>
    <w:rsid w:val="00DB27F5"/>
    <w:rsid w:val="00DB2938"/>
    <w:rsid w:val="00DB3336"/>
    <w:rsid w:val="00DB357B"/>
    <w:rsid w:val="00DB3AB6"/>
    <w:rsid w:val="00DB3B09"/>
    <w:rsid w:val="00DB3D7D"/>
    <w:rsid w:val="00DB3FB2"/>
    <w:rsid w:val="00DB42A1"/>
    <w:rsid w:val="00DB42E5"/>
    <w:rsid w:val="00DB4D2B"/>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D8"/>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A10"/>
    <w:rsid w:val="00DC4B01"/>
    <w:rsid w:val="00DC4E35"/>
    <w:rsid w:val="00DC52D6"/>
    <w:rsid w:val="00DC58B0"/>
    <w:rsid w:val="00DC60BA"/>
    <w:rsid w:val="00DC62A2"/>
    <w:rsid w:val="00DC6468"/>
    <w:rsid w:val="00DC65F4"/>
    <w:rsid w:val="00DC69D1"/>
    <w:rsid w:val="00DC6AEF"/>
    <w:rsid w:val="00DC6D0B"/>
    <w:rsid w:val="00DC6F1C"/>
    <w:rsid w:val="00DC70A0"/>
    <w:rsid w:val="00DC724B"/>
    <w:rsid w:val="00DC74A2"/>
    <w:rsid w:val="00DC76BD"/>
    <w:rsid w:val="00DC7C6B"/>
    <w:rsid w:val="00DC7DC2"/>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21F"/>
    <w:rsid w:val="00DF07AF"/>
    <w:rsid w:val="00DF087B"/>
    <w:rsid w:val="00DF0971"/>
    <w:rsid w:val="00DF0D3D"/>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A30"/>
    <w:rsid w:val="00E12EF8"/>
    <w:rsid w:val="00E133EF"/>
    <w:rsid w:val="00E1390F"/>
    <w:rsid w:val="00E14384"/>
    <w:rsid w:val="00E14F04"/>
    <w:rsid w:val="00E155F0"/>
    <w:rsid w:val="00E15839"/>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D6D"/>
    <w:rsid w:val="00E21F67"/>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45F"/>
    <w:rsid w:val="00E31AAB"/>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0D2"/>
    <w:rsid w:val="00E463DC"/>
    <w:rsid w:val="00E46934"/>
    <w:rsid w:val="00E46B8A"/>
    <w:rsid w:val="00E46C3B"/>
    <w:rsid w:val="00E4757A"/>
    <w:rsid w:val="00E475B7"/>
    <w:rsid w:val="00E504E9"/>
    <w:rsid w:val="00E5080D"/>
    <w:rsid w:val="00E5089D"/>
    <w:rsid w:val="00E50990"/>
    <w:rsid w:val="00E50BB5"/>
    <w:rsid w:val="00E50C1D"/>
    <w:rsid w:val="00E50C9B"/>
    <w:rsid w:val="00E50CAE"/>
    <w:rsid w:val="00E50DFD"/>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DE9"/>
    <w:rsid w:val="00E72DF1"/>
    <w:rsid w:val="00E7308D"/>
    <w:rsid w:val="00E73C34"/>
    <w:rsid w:val="00E73DF8"/>
    <w:rsid w:val="00E7412C"/>
    <w:rsid w:val="00E74564"/>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2AE4"/>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0C"/>
    <w:rsid w:val="00E94361"/>
    <w:rsid w:val="00E94505"/>
    <w:rsid w:val="00E9452E"/>
    <w:rsid w:val="00E94BFD"/>
    <w:rsid w:val="00E960F5"/>
    <w:rsid w:val="00E963AD"/>
    <w:rsid w:val="00E9682A"/>
    <w:rsid w:val="00E968C9"/>
    <w:rsid w:val="00E96A5B"/>
    <w:rsid w:val="00E96B53"/>
    <w:rsid w:val="00E96C5A"/>
    <w:rsid w:val="00E970B3"/>
    <w:rsid w:val="00E971C5"/>
    <w:rsid w:val="00E97A66"/>
    <w:rsid w:val="00E97C5B"/>
    <w:rsid w:val="00EA01BB"/>
    <w:rsid w:val="00EA04E2"/>
    <w:rsid w:val="00EA06A2"/>
    <w:rsid w:val="00EA0C0E"/>
    <w:rsid w:val="00EA0E4A"/>
    <w:rsid w:val="00EA160C"/>
    <w:rsid w:val="00EA16EC"/>
    <w:rsid w:val="00EA1BC8"/>
    <w:rsid w:val="00EA2542"/>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C85"/>
    <w:rsid w:val="00EB0ED9"/>
    <w:rsid w:val="00EB12EF"/>
    <w:rsid w:val="00EB174F"/>
    <w:rsid w:val="00EB200F"/>
    <w:rsid w:val="00EB2579"/>
    <w:rsid w:val="00EB2877"/>
    <w:rsid w:val="00EB2955"/>
    <w:rsid w:val="00EB2AB0"/>
    <w:rsid w:val="00EB320B"/>
    <w:rsid w:val="00EB3213"/>
    <w:rsid w:val="00EB3546"/>
    <w:rsid w:val="00EB411E"/>
    <w:rsid w:val="00EB4267"/>
    <w:rsid w:val="00EB4630"/>
    <w:rsid w:val="00EB463A"/>
    <w:rsid w:val="00EB4680"/>
    <w:rsid w:val="00EB4959"/>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E3F"/>
    <w:rsid w:val="00EE02ED"/>
    <w:rsid w:val="00EE02FD"/>
    <w:rsid w:val="00EE059A"/>
    <w:rsid w:val="00EE0E0F"/>
    <w:rsid w:val="00EE12A2"/>
    <w:rsid w:val="00EE16DC"/>
    <w:rsid w:val="00EE1AD2"/>
    <w:rsid w:val="00EE1EEC"/>
    <w:rsid w:val="00EE26CD"/>
    <w:rsid w:val="00EE27A0"/>
    <w:rsid w:val="00EE2A9F"/>
    <w:rsid w:val="00EE2F18"/>
    <w:rsid w:val="00EE327B"/>
    <w:rsid w:val="00EE3406"/>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D60"/>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8FB"/>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67A"/>
    <w:rsid w:val="00F63A4C"/>
    <w:rsid w:val="00F63CB7"/>
    <w:rsid w:val="00F645A9"/>
    <w:rsid w:val="00F6484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077"/>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0C3"/>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2F8"/>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6E"/>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D93"/>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3CC"/>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8FE"/>
    <w:rsid w:val="00FE0B4F"/>
    <w:rsid w:val="00FE0B79"/>
    <w:rsid w:val="00FE0C3A"/>
    <w:rsid w:val="00FE10E9"/>
    <w:rsid w:val="00FE1277"/>
    <w:rsid w:val="00FE14BE"/>
    <w:rsid w:val="00FE14F9"/>
    <w:rsid w:val="00FE1EBD"/>
    <w:rsid w:val="00FE1F0A"/>
    <w:rsid w:val="00FE26D8"/>
    <w:rsid w:val="00FE2E59"/>
    <w:rsid w:val="00FE2E71"/>
    <w:rsid w:val="00FE3A79"/>
    <w:rsid w:val="00FE4AF1"/>
    <w:rsid w:val="00FE4B04"/>
    <w:rsid w:val="00FE4C7B"/>
    <w:rsid w:val="00FE5022"/>
    <w:rsid w:val="00FE5403"/>
    <w:rsid w:val="00FE542F"/>
    <w:rsid w:val="00FE5452"/>
    <w:rsid w:val="00FE547F"/>
    <w:rsid w:val="00FE5529"/>
    <w:rsid w:val="00FE5939"/>
    <w:rsid w:val="00FE5F92"/>
    <w:rsid w:val="00FE5F9B"/>
    <w:rsid w:val="00FE6080"/>
    <w:rsid w:val="00FE72A1"/>
    <w:rsid w:val="00FE73E1"/>
    <w:rsid w:val="00FE74EA"/>
    <w:rsid w:val="00FE7B00"/>
    <w:rsid w:val="00FE7E2B"/>
    <w:rsid w:val="00FE7E3E"/>
    <w:rsid w:val="00FF0240"/>
    <w:rsid w:val="00FF0766"/>
    <w:rsid w:val="00FF0DAD"/>
    <w:rsid w:val="00FF17B4"/>
    <w:rsid w:val="00FF1C20"/>
    <w:rsid w:val="00FF1CA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0E1281"/>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paragraph" w:styleId="ListParagraph">
    <w:name w:val="List Paragraph"/>
    <w:basedOn w:val="Normal"/>
    <w:uiPriority w:val="34"/>
    <w:qFormat/>
    <w:rsid w:val="002E7B65"/>
    <w:pPr>
      <w:spacing w:line="240" w:lineRule="auto"/>
      <w:ind w:left="720"/>
      <w:contextualSpacing/>
      <w:jc w:val="left"/>
    </w:pPr>
    <w:rPr>
      <w:rFonts w:ascii="Calibri" w:eastAsia="Calibri" w:hAnsi="Calibri"/>
      <w:sz w:val="22"/>
      <w:szCs w:val="22"/>
    </w:rPr>
  </w:style>
  <w:style w:type="paragraph" w:customStyle="1" w:styleId="AERfigureheading">
    <w:name w:val="AER figure heading"/>
    <w:basedOn w:val="Normal"/>
    <w:next w:val="Normal"/>
    <w:rsid w:val="002E7B65"/>
    <w:pPr>
      <w:keepNext/>
      <w:tabs>
        <w:tab w:val="num" w:pos="1361"/>
      </w:tabs>
      <w:spacing w:before="240" w:after="120" w:line="240" w:lineRule="auto"/>
      <w:ind w:left="1134" w:hanging="1134"/>
      <w:jc w:val="left"/>
      <w:outlineLvl w:val="3"/>
    </w:pPr>
    <w:rPr>
      <w:rFonts w:ascii="Calibri" w:eastAsia="Calibri" w:hAnsi="Calibri"/>
      <w: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2162</Words>
  <Characters>12326</Characters>
  <Application>Microsoft Office Word</Application>
  <DocSecurity>0</DocSecurity>
  <Lines>102</Lines>
  <Paragraphs>28</Paragraphs>
  <ScaleCrop>false</ScaleCrop>
  <Company/>
  <LinksUpToDate>false</LinksUpToDate>
  <CharactersWithSpaces>14460</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2013-09-26T05:10:00Z</dcterms:created>
  <dcterms:modified xsi:type="dcterms:W3CDTF">2013-09-26T05:11:00Z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8053252</vt:lpwstr>
  </property>
</Properties>
</file>