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727837"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AF3EB6" w:rsidRDefault="00AF3EB6">
                  <w:pPr>
                    <w:pStyle w:val="Title"/>
                    <w:jc w:val="left"/>
                  </w:pPr>
                  <w:r w:rsidRPr="00F50D3A">
                    <w:t>Electricity</w:t>
                  </w:r>
                  <w:r>
                    <w:t xml:space="preserve"> Report</w:t>
                  </w:r>
                </w:p>
                <w:p w:rsidR="00AF3EB6" w:rsidRDefault="00AF3EB6">
                  <w:pPr>
                    <w:pStyle w:val="Title"/>
                    <w:jc w:val="left"/>
                    <w:rPr>
                      <w:i/>
                    </w:rPr>
                  </w:pPr>
                  <w:r>
                    <w:t>21 to 27 July 2013</w:t>
                  </w:r>
                  <w:r w:rsidRPr="00F50D3A">
                    <w:t xml:space="preserve"> </w:t>
                  </w:r>
                </w:p>
                <w:p w:rsidR="00AF3EB6" w:rsidRDefault="00AF3EB6">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8.95pt">
            <v:imagedata r:id="rId8"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F6FF5">
      <w:pPr>
        <w:rPr>
          <w:lang w:eastAsia="en-US"/>
        </w:rPr>
      </w:pPr>
      <w:r w:rsidRPr="002F6FF5">
        <w:rPr>
          <w:lang w:eastAsia="en-US"/>
        </w:rPr>
        <w:t xml:space="preserve">The AER is required to publish the reasons for significant variations </w:t>
      </w:r>
      <w:r w:rsidR="005A5ACF">
        <w:rPr>
          <w:lang w:eastAsia="en-US"/>
        </w:rPr>
        <w:t xml:space="preserve">between forecast and actual price </w:t>
      </w:r>
      <w:r w:rsidRPr="002F6FF5">
        <w:rPr>
          <w:lang w:eastAsia="en-US"/>
        </w:rPr>
        <w:t>and is responsible for monitoring activity and behaviour in the N</w:t>
      </w:r>
      <w:r>
        <w:rPr>
          <w:lang w:eastAsia="en-US"/>
        </w:rPr>
        <w:t xml:space="preserve">ational </w:t>
      </w:r>
      <w:r w:rsidRPr="002F6FF5">
        <w:rPr>
          <w:lang w:eastAsia="en-US"/>
        </w:rPr>
        <w:t>E</w:t>
      </w:r>
      <w:r>
        <w:rPr>
          <w:lang w:eastAsia="en-US"/>
        </w:rPr>
        <w:t xml:space="preserve">lectricity </w:t>
      </w:r>
      <w:r w:rsidRPr="002F6FF5">
        <w:rPr>
          <w:lang w:eastAsia="en-US"/>
        </w:rPr>
        <w:t>M</w:t>
      </w:r>
      <w:r>
        <w:rPr>
          <w:lang w:eastAsia="en-US"/>
        </w:rPr>
        <w:t>arket</w:t>
      </w:r>
      <w:r w:rsidRPr="002F6FF5">
        <w:rPr>
          <w:lang w:eastAsia="en-US"/>
        </w:rPr>
        <w:t xml:space="preserve">. The </w:t>
      </w:r>
      <w:r>
        <w:rPr>
          <w:lang w:eastAsia="en-US"/>
        </w:rPr>
        <w:t>E</w:t>
      </w:r>
      <w:r w:rsidRPr="002F6FF5">
        <w:rPr>
          <w:lang w:eastAsia="en-US"/>
        </w:rPr>
        <w:t xml:space="preserve">lectricity </w:t>
      </w:r>
      <w:r>
        <w:rPr>
          <w:lang w:eastAsia="en-US"/>
        </w:rPr>
        <w:t>Report</w:t>
      </w:r>
      <w:r w:rsidRPr="002F6FF5">
        <w:rPr>
          <w:lang w:eastAsia="en-US"/>
        </w:rPr>
        <w:t xml:space="preserve"> form</w:t>
      </w:r>
      <w:r>
        <w:rPr>
          <w:lang w:eastAsia="en-US"/>
        </w:rPr>
        <w:t>s</w:t>
      </w:r>
      <w:r w:rsidRPr="002F6FF5">
        <w:rPr>
          <w:lang w:eastAsia="en-US"/>
        </w:rPr>
        <w:t xml:space="preserve"> an important part of this work. The</w:t>
      </w:r>
      <w:r>
        <w:rPr>
          <w:lang w:eastAsia="en-US"/>
        </w:rPr>
        <w:t xml:space="preserve"> report</w:t>
      </w:r>
      <w:r w:rsidRPr="002F6FF5">
        <w:rPr>
          <w:lang w:eastAsia="en-US"/>
        </w:rPr>
        <w:t xml:space="preserve"> contain</w:t>
      </w:r>
      <w:r>
        <w:rPr>
          <w:lang w:eastAsia="en-US"/>
        </w:rPr>
        <w:t>s</w:t>
      </w:r>
      <w:r w:rsidRPr="002F6FF5">
        <w:rPr>
          <w:lang w:eastAsia="en-US"/>
        </w:rPr>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0F5692" w:rsidRPr="00C77DE6" w:rsidRDefault="000F5692" w:rsidP="000F5692">
      <w:pPr>
        <w:pStyle w:val="Heading2"/>
        <w:rPr>
          <w:color w:val="auto"/>
        </w:rPr>
      </w:pPr>
      <w:r w:rsidRPr="00C77DE6">
        <w:rPr>
          <w:color w:val="auto"/>
        </w:rPr>
        <w:t>Weekly spotlight</w:t>
      </w:r>
    </w:p>
    <w:p w:rsidR="00E2314F" w:rsidRDefault="00E2314F" w:rsidP="0089401B">
      <w:pPr>
        <w:pStyle w:val="AERbodytext"/>
      </w:pPr>
      <w:r>
        <w:t xml:space="preserve">In addition to monitoring outcomes in the NEM on a weekly basis, the AER also monitors long term trends in the energy sector. </w:t>
      </w:r>
      <w:r w:rsidR="0068222A">
        <w:t xml:space="preserve">The AER’s website brings together many of the statistics, tables, and data from AER publications such as the State of the Energy Market report. </w:t>
      </w:r>
    </w:p>
    <w:p w:rsidR="000F5692" w:rsidRDefault="00E2314F" w:rsidP="00E2314F">
      <w:pPr>
        <w:pStyle w:val="AERbodytext"/>
      </w:pPr>
      <w:r>
        <w:t>One of the trends we monitor is the level of peak demand, which has been the subject of interest in the electricity sector over</w:t>
      </w:r>
      <w:r w:rsidR="008E545E">
        <w:t xml:space="preserve"> the last eighteen months. The spotlight f</w:t>
      </w:r>
      <w:r>
        <w:t xml:space="preserve">igure below </w:t>
      </w:r>
      <w:r w:rsidR="0068222A">
        <w:t>details seasonal peak demand across the NEM for both the winter and summer periods</w:t>
      </w:r>
      <w:r w:rsidR="00756C25">
        <w:t xml:space="preserve"> since the NEM began</w:t>
      </w:r>
      <w:r w:rsidR="0068222A">
        <w:t xml:space="preserve">. </w:t>
      </w:r>
    </w:p>
    <w:p w:rsidR="006217D8" w:rsidRDefault="006217D8" w:rsidP="006217D8">
      <w:pPr>
        <w:pStyle w:val="Caption"/>
      </w:pPr>
      <w:r>
        <w:t>Spotlight figure: Seasonal peak demand (NEM)</w:t>
      </w:r>
    </w:p>
    <w:p w:rsidR="000F5692" w:rsidRDefault="00727837" w:rsidP="00E2314F">
      <w:pPr>
        <w:pStyle w:val="AERbodytext"/>
        <w:spacing w:after="0"/>
      </w:pPr>
      <w:r>
        <w:pict>
          <v:shape id="_x0000_i1026" type="#_x0000_t75" style="width:378.1pt;height:296.85pt">
            <v:imagedata r:id="rId9" o:title=""/>
          </v:shape>
        </w:pict>
      </w:r>
    </w:p>
    <w:p w:rsidR="00E2314F" w:rsidRPr="00E2314F" w:rsidRDefault="00E2314F" w:rsidP="00E2314F">
      <w:pPr>
        <w:pStyle w:val="AERbodytext"/>
        <w:spacing w:after="120"/>
        <w:rPr>
          <w:sz w:val="16"/>
          <w:szCs w:val="16"/>
        </w:rPr>
      </w:pPr>
      <w:r w:rsidRPr="00E2314F">
        <w:rPr>
          <w:sz w:val="16"/>
          <w:szCs w:val="16"/>
        </w:rPr>
        <w:t>Note:</w:t>
      </w:r>
      <w:r>
        <w:rPr>
          <w:sz w:val="16"/>
          <w:szCs w:val="16"/>
        </w:rPr>
        <w:t xml:space="preserve">  Tasmania joined the NEM in </w:t>
      </w:r>
      <w:r w:rsidR="00E167C2">
        <w:rPr>
          <w:sz w:val="16"/>
          <w:szCs w:val="16"/>
        </w:rPr>
        <w:t>May 2005.</w:t>
      </w:r>
    </w:p>
    <w:p w:rsidR="00E2314F" w:rsidRDefault="00E167C2" w:rsidP="00E2314F">
      <w:pPr>
        <w:pStyle w:val="AERbodytext"/>
      </w:pPr>
      <w:r>
        <w:lastRenderedPageBreak/>
        <w:t>The figure</w:t>
      </w:r>
      <w:r w:rsidR="00E2314F">
        <w:t xml:space="preserve"> shows a steady increase in peak demand for both winter and summer from 1998 up to around 2009. </w:t>
      </w:r>
      <w:r>
        <w:t xml:space="preserve">From </w:t>
      </w:r>
      <w:r w:rsidR="00E2314F">
        <w:t>2009, peak demand remained steady</w:t>
      </w:r>
      <w:r>
        <w:t xml:space="preserve"> before</w:t>
      </w:r>
      <w:r w:rsidR="00E2314F">
        <w:t xml:space="preserve"> trend</w:t>
      </w:r>
      <w:r>
        <w:t>ing</w:t>
      </w:r>
      <w:r w:rsidR="00E2314F">
        <w:t xml:space="preserve"> downwards</w:t>
      </w:r>
      <w:r>
        <w:t xml:space="preserve"> in recent years</w:t>
      </w:r>
      <w:r w:rsidR="00E2314F">
        <w:t xml:space="preserve">. </w:t>
      </w:r>
      <w:r>
        <w:t>Winter peak demand in 2012, for example, was</w:t>
      </w:r>
      <w:r w:rsidR="00E2314F">
        <w:t xml:space="preserve"> the lowest since 200</w:t>
      </w:r>
      <w:r>
        <w:t>4</w:t>
      </w:r>
      <w:r w:rsidR="00E2314F">
        <w:t xml:space="preserve">.  </w:t>
      </w:r>
    </w:p>
    <w:p w:rsidR="006D2A3E" w:rsidRDefault="006D2A3E" w:rsidP="00E2314F">
      <w:pPr>
        <w:pStyle w:val="AERbodytext"/>
      </w:pPr>
      <w:r>
        <w:t xml:space="preserve">More statistics can be found in the </w:t>
      </w:r>
      <w:hyperlink r:id="rId10" w:history="1">
        <w:r w:rsidRPr="00317E23">
          <w:rPr>
            <w:rStyle w:val="Hyperlink"/>
          </w:rPr>
          <w:t>performance of the energy sector</w:t>
        </w:r>
      </w:hyperlink>
      <w:r>
        <w:t xml:space="preserve"> section of our website. </w:t>
      </w:r>
    </w:p>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r w:rsidR="00953237">
        <w:t>shows</w:t>
      </w:r>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($/MWh)</w:t>
      </w:r>
    </w:p>
    <w:p w:rsidR="00785F23" w:rsidRPr="00785F23" w:rsidRDefault="00727837" w:rsidP="00785F23">
      <w:pPr>
        <w:pStyle w:val="AERbodytext"/>
      </w:pPr>
      <w:r>
        <w:pict>
          <v:shape id="_x0000_i1027" type="#_x0000_t75" alt="Figure 1 shows the volume weighted average (VWA) prices for this week (with prices shown in Table 1) and the preceding 12 weeks, as well as the VWA price over the previous 3 financial years." style="width:451.45pt;height:225.7pt">
            <v:imagedata r:id="rId11"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Tas</w:t>
            </w:r>
          </w:p>
        </w:tc>
      </w:tr>
      <w:tr w:rsidR="00CF586E"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CF586E" w:rsidRPr="007556DA" w:rsidRDefault="00CF586E">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CF586E" w:rsidRPr="00785F23" w:rsidRDefault="00CF586E" w:rsidP="00CA5F6C">
            <w:pPr>
              <w:jc w:val="center"/>
              <w:rPr>
                <w:rFonts w:cs="Gautami"/>
                <w:sz w:val="16"/>
                <w:szCs w:val="16"/>
              </w:rPr>
            </w:pPr>
            <w:r>
              <w:rPr>
                <w:rFonts w:cs="Gautami"/>
                <w:sz w:val="16"/>
                <w:szCs w:val="16"/>
              </w:rPr>
              <w:t>71</w:t>
            </w:r>
          </w:p>
        </w:tc>
        <w:tc>
          <w:tcPr>
            <w:tcW w:w="1275" w:type="dxa"/>
            <w:tcBorders>
              <w:top w:val="nil"/>
              <w:bottom w:val="nil"/>
            </w:tcBorders>
            <w:shd w:val="clear" w:color="auto" w:fill="DDD9C3" w:themeFill="background2" w:themeFillShade="E6"/>
            <w:noWrap/>
            <w:vAlign w:val="center"/>
          </w:tcPr>
          <w:p w:rsidR="00CF586E" w:rsidRPr="00785F23" w:rsidRDefault="00CF586E" w:rsidP="00CA5F6C">
            <w:pPr>
              <w:jc w:val="center"/>
              <w:rPr>
                <w:rFonts w:cs="Gautami"/>
                <w:sz w:val="16"/>
                <w:szCs w:val="16"/>
              </w:rPr>
            </w:pPr>
            <w:r>
              <w:rPr>
                <w:rFonts w:cs="Gautami"/>
                <w:sz w:val="16"/>
                <w:szCs w:val="16"/>
              </w:rPr>
              <w:t>62</w:t>
            </w:r>
          </w:p>
        </w:tc>
        <w:tc>
          <w:tcPr>
            <w:tcW w:w="1276" w:type="dxa"/>
            <w:tcBorders>
              <w:top w:val="nil"/>
              <w:bottom w:val="nil"/>
            </w:tcBorders>
            <w:shd w:val="clear" w:color="auto" w:fill="DDD9C3" w:themeFill="background2" w:themeFillShade="E6"/>
            <w:vAlign w:val="center"/>
          </w:tcPr>
          <w:p w:rsidR="00CF586E" w:rsidRPr="00785F23" w:rsidRDefault="00CF586E" w:rsidP="00CA5F6C">
            <w:pPr>
              <w:jc w:val="center"/>
              <w:rPr>
                <w:rFonts w:cs="Gautami"/>
                <w:sz w:val="16"/>
                <w:szCs w:val="16"/>
              </w:rPr>
            </w:pPr>
            <w:r>
              <w:rPr>
                <w:rFonts w:cs="Gautami"/>
                <w:sz w:val="16"/>
                <w:szCs w:val="16"/>
              </w:rPr>
              <w:t>63</w:t>
            </w:r>
          </w:p>
        </w:tc>
        <w:tc>
          <w:tcPr>
            <w:tcW w:w="1134" w:type="dxa"/>
            <w:tcBorders>
              <w:top w:val="nil"/>
              <w:bottom w:val="nil"/>
            </w:tcBorders>
            <w:shd w:val="clear" w:color="auto" w:fill="DDD9C3" w:themeFill="background2" w:themeFillShade="E6"/>
            <w:noWrap/>
            <w:vAlign w:val="center"/>
          </w:tcPr>
          <w:p w:rsidR="00CF586E" w:rsidRPr="00785F23" w:rsidRDefault="00CF586E" w:rsidP="00CA5F6C">
            <w:pPr>
              <w:jc w:val="center"/>
              <w:rPr>
                <w:rFonts w:cs="Gautami"/>
                <w:sz w:val="16"/>
                <w:szCs w:val="16"/>
              </w:rPr>
            </w:pPr>
            <w:r>
              <w:rPr>
                <w:rFonts w:cs="Gautami"/>
                <w:sz w:val="16"/>
                <w:szCs w:val="16"/>
              </w:rPr>
              <w:t>78</w:t>
            </w:r>
          </w:p>
        </w:tc>
        <w:tc>
          <w:tcPr>
            <w:tcW w:w="1275" w:type="dxa"/>
            <w:tcBorders>
              <w:top w:val="nil"/>
              <w:bottom w:val="nil"/>
            </w:tcBorders>
            <w:shd w:val="clear" w:color="auto" w:fill="DDD9C3" w:themeFill="background2" w:themeFillShade="E6"/>
            <w:vAlign w:val="center"/>
          </w:tcPr>
          <w:p w:rsidR="00CF586E" w:rsidRPr="00785F23" w:rsidRDefault="00CF586E" w:rsidP="00CA5F6C">
            <w:pPr>
              <w:jc w:val="center"/>
              <w:rPr>
                <w:rFonts w:cs="Gautami"/>
                <w:sz w:val="16"/>
                <w:szCs w:val="16"/>
              </w:rPr>
            </w:pPr>
            <w:r>
              <w:rPr>
                <w:rFonts w:cs="Gautami"/>
                <w:sz w:val="16"/>
                <w:szCs w:val="16"/>
              </w:rPr>
              <w:t>50</w:t>
            </w:r>
          </w:p>
        </w:tc>
      </w:tr>
      <w:tr w:rsidR="00CF586E" w:rsidRPr="007556DA" w:rsidTr="00CA5F6C">
        <w:trPr>
          <w:trHeight w:hRule="exact" w:val="454"/>
        </w:trPr>
        <w:tc>
          <w:tcPr>
            <w:tcW w:w="1809" w:type="dxa"/>
            <w:tcBorders>
              <w:top w:val="nil"/>
              <w:bottom w:val="nil"/>
            </w:tcBorders>
            <w:shd w:val="clear" w:color="auto" w:fill="EEECE1" w:themeFill="background2"/>
            <w:noWrap/>
            <w:vAlign w:val="center"/>
          </w:tcPr>
          <w:p w:rsidR="00CF586E" w:rsidRPr="007556DA" w:rsidRDefault="00CF586E">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CF586E" w:rsidRDefault="00CF586E" w:rsidP="00CA5F6C">
            <w:pPr>
              <w:jc w:val="center"/>
              <w:rPr>
                <w:rFonts w:cs="Gautami"/>
                <w:sz w:val="16"/>
                <w:szCs w:val="16"/>
              </w:rPr>
            </w:pPr>
            <w:r>
              <w:rPr>
                <w:rFonts w:cs="Gautami"/>
                <w:sz w:val="16"/>
                <w:szCs w:val="16"/>
              </w:rPr>
              <w:t>65</w:t>
            </w:r>
          </w:p>
        </w:tc>
        <w:tc>
          <w:tcPr>
            <w:tcW w:w="1275" w:type="dxa"/>
            <w:tcBorders>
              <w:top w:val="nil"/>
              <w:bottom w:val="nil"/>
            </w:tcBorders>
            <w:shd w:val="clear" w:color="auto" w:fill="EEECE1" w:themeFill="background2"/>
            <w:noWrap/>
            <w:vAlign w:val="center"/>
          </w:tcPr>
          <w:p w:rsidR="00CF586E" w:rsidRDefault="00CF586E" w:rsidP="00CA5F6C">
            <w:pPr>
              <w:jc w:val="center"/>
              <w:rPr>
                <w:rFonts w:cs="Gautami"/>
                <w:sz w:val="16"/>
                <w:szCs w:val="16"/>
              </w:rPr>
            </w:pPr>
            <w:r>
              <w:rPr>
                <w:rFonts w:cs="Gautami"/>
                <w:sz w:val="16"/>
                <w:szCs w:val="16"/>
              </w:rPr>
              <w:t>68</w:t>
            </w:r>
          </w:p>
        </w:tc>
        <w:tc>
          <w:tcPr>
            <w:tcW w:w="1276" w:type="dxa"/>
            <w:tcBorders>
              <w:top w:val="nil"/>
              <w:bottom w:val="nil"/>
            </w:tcBorders>
            <w:shd w:val="clear" w:color="auto" w:fill="EEECE1" w:themeFill="background2"/>
            <w:vAlign w:val="center"/>
          </w:tcPr>
          <w:p w:rsidR="00CF586E" w:rsidRDefault="00CF586E" w:rsidP="00CA5F6C">
            <w:pPr>
              <w:jc w:val="center"/>
              <w:rPr>
                <w:rFonts w:cs="Gautami"/>
                <w:sz w:val="16"/>
                <w:szCs w:val="16"/>
              </w:rPr>
            </w:pPr>
            <w:r>
              <w:rPr>
                <w:rFonts w:cs="Gautami"/>
                <w:sz w:val="16"/>
                <w:szCs w:val="16"/>
              </w:rPr>
              <w:t>77</w:t>
            </w:r>
          </w:p>
        </w:tc>
        <w:tc>
          <w:tcPr>
            <w:tcW w:w="1134" w:type="dxa"/>
            <w:tcBorders>
              <w:top w:val="nil"/>
              <w:bottom w:val="nil"/>
            </w:tcBorders>
            <w:shd w:val="clear" w:color="auto" w:fill="EEECE1" w:themeFill="background2"/>
            <w:noWrap/>
            <w:vAlign w:val="center"/>
          </w:tcPr>
          <w:p w:rsidR="00CF586E" w:rsidRDefault="00CF586E" w:rsidP="00CA5F6C">
            <w:pPr>
              <w:jc w:val="center"/>
              <w:rPr>
                <w:rFonts w:cs="Gautami"/>
                <w:sz w:val="16"/>
                <w:szCs w:val="16"/>
              </w:rPr>
            </w:pPr>
            <w:r>
              <w:rPr>
                <w:rFonts w:cs="Gautami"/>
                <w:sz w:val="16"/>
                <w:szCs w:val="16"/>
              </w:rPr>
              <w:t>83</w:t>
            </w:r>
          </w:p>
        </w:tc>
        <w:tc>
          <w:tcPr>
            <w:tcW w:w="1275" w:type="dxa"/>
            <w:tcBorders>
              <w:top w:val="nil"/>
              <w:bottom w:val="nil"/>
            </w:tcBorders>
            <w:shd w:val="clear" w:color="auto" w:fill="EEECE1" w:themeFill="background2"/>
            <w:vAlign w:val="center"/>
          </w:tcPr>
          <w:p w:rsidR="00CF586E" w:rsidRDefault="00CF586E" w:rsidP="00CA5F6C">
            <w:pPr>
              <w:jc w:val="center"/>
              <w:rPr>
                <w:rFonts w:cs="Gautami"/>
                <w:sz w:val="16"/>
                <w:szCs w:val="16"/>
              </w:rPr>
            </w:pPr>
            <w:r>
              <w:rPr>
                <w:rFonts w:cs="Gautami"/>
                <w:sz w:val="16"/>
                <w:szCs w:val="16"/>
              </w:rPr>
              <w:t>61</w:t>
            </w:r>
          </w:p>
        </w:tc>
      </w:tr>
      <w:tr w:rsidR="00CF586E"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CF586E" w:rsidRPr="007556DA" w:rsidRDefault="00CF586E">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CF586E" w:rsidRPr="007556DA" w:rsidRDefault="00CF586E" w:rsidP="00CA5F6C">
            <w:pPr>
              <w:jc w:val="center"/>
              <w:rPr>
                <w:rFonts w:cs="Gautami"/>
                <w:sz w:val="16"/>
                <w:szCs w:val="16"/>
              </w:rPr>
            </w:pPr>
            <w:r>
              <w:rPr>
                <w:rFonts w:cs="Gautami"/>
                <w:sz w:val="16"/>
                <w:szCs w:val="16"/>
              </w:rPr>
              <w:t>62</w:t>
            </w:r>
          </w:p>
        </w:tc>
        <w:tc>
          <w:tcPr>
            <w:tcW w:w="1275" w:type="dxa"/>
            <w:tcBorders>
              <w:top w:val="nil"/>
              <w:bottom w:val="single" w:sz="4" w:space="0" w:color="auto"/>
            </w:tcBorders>
            <w:shd w:val="clear" w:color="auto" w:fill="DDD9C3" w:themeFill="background2" w:themeFillShade="E6"/>
            <w:noWrap/>
            <w:vAlign w:val="center"/>
          </w:tcPr>
          <w:p w:rsidR="00CF586E" w:rsidRPr="007556DA" w:rsidRDefault="00CF586E" w:rsidP="00CA5F6C">
            <w:pPr>
              <w:jc w:val="center"/>
              <w:rPr>
                <w:rFonts w:cs="Gautami"/>
                <w:sz w:val="16"/>
                <w:szCs w:val="16"/>
              </w:rPr>
            </w:pPr>
            <w:r>
              <w:rPr>
                <w:rFonts w:cs="Gautami"/>
                <w:sz w:val="16"/>
                <w:szCs w:val="16"/>
              </w:rPr>
              <w:t>59</w:t>
            </w:r>
          </w:p>
        </w:tc>
        <w:tc>
          <w:tcPr>
            <w:tcW w:w="1276" w:type="dxa"/>
            <w:tcBorders>
              <w:top w:val="nil"/>
              <w:bottom w:val="single" w:sz="4" w:space="0" w:color="auto"/>
            </w:tcBorders>
            <w:shd w:val="clear" w:color="auto" w:fill="DDD9C3" w:themeFill="background2" w:themeFillShade="E6"/>
            <w:vAlign w:val="center"/>
          </w:tcPr>
          <w:p w:rsidR="00CF586E" w:rsidRPr="007556DA" w:rsidRDefault="00CF586E" w:rsidP="00CA5F6C">
            <w:pPr>
              <w:jc w:val="center"/>
              <w:rPr>
                <w:rFonts w:cs="Gautami"/>
                <w:sz w:val="16"/>
                <w:szCs w:val="16"/>
              </w:rPr>
            </w:pPr>
            <w:r>
              <w:rPr>
                <w:rFonts w:cs="Gautami"/>
                <w:sz w:val="16"/>
                <w:szCs w:val="16"/>
              </w:rPr>
              <w:t>60</w:t>
            </w:r>
          </w:p>
        </w:tc>
        <w:tc>
          <w:tcPr>
            <w:tcW w:w="1134" w:type="dxa"/>
            <w:tcBorders>
              <w:top w:val="nil"/>
              <w:bottom w:val="single" w:sz="4" w:space="0" w:color="auto"/>
            </w:tcBorders>
            <w:shd w:val="clear" w:color="auto" w:fill="DDD9C3" w:themeFill="background2" w:themeFillShade="E6"/>
            <w:noWrap/>
            <w:vAlign w:val="center"/>
          </w:tcPr>
          <w:p w:rsidR="00CF586E" w:rsidRPr="007556DA" w:rsidRDefault="00CF586E" w:rsidP="00CA5F6C">
            <w:pPr>
              <w:jc w:val="center"/>
              <w:rPr>
                <w:rFonts w:cs="Gautami"/>
                <w:sz w:val="16"/>
                <w:szCs w:val="16"/>
              </w:rPr>
            </w:pPr>
            <w:r>
              <w:rPr>
                <w:rFonts w:cs="Gautami"/>
                <w:sz w:val="16"/>
                <w:szCs w:val="16"/>
              </w:rPr>
              <w:t>72</w:t>
            </w:r>
          </w:p>
        </w:tc>
        <w:tc>
          <w:tcPr>
            <w:tcW w:w="1275" w:type="dxa"/>
            <w:tcBorders>
              <w:top w:val="nil"/>
              <w:bottom w:val="single" w:sz="4" w:space="0" w:color="auto"/>
            </w:tcBorders>
            <w:shd w:val="clear" w:color="auto" w:fill="DDD9C3" w:themeFill="background2" w:themeFillShade="E6"/>
            <w:vAlign w:val="center"/>
          </w:tcPr>
          <w:p w:rsidR="00CF586E" w:rsidRPr="007556DA" w:rsidRDefault="00CF586E" w:rsidP="00CA5F6C">
            <w:pPr>
              <w:jc w:val="center"/>
              <w:rPr>
                <w:rFonts w:cs="Gautami"/>
                <w:sz w:val="16"/>
                <w:szCs w:val="16"/>
              </w:rPr>
            </w:pPr>
            <w:r>
              <w:rPr>
                <w:rFonts w:cs="Gautami"/>
                <w:sz w:val="16"/>
                <w:szCs w:val="16"/>
              </w:rPr>
              <w:t>52</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2" w:history="1">
        <w:r w:rsidR="000F1E82">
          <w:rPr>
            <w:rStyle w:val="Hyperlink"/>
          </w:rPr>
          <w:t>AER website</w:t>
        </w:r>
      </w:hyperlink>
      <w:r>
        <w:t xml:space="preserve">. </w:t>
      </w:r>
    </w:p>
    <w:bookmarkEnd w:id="7"/>
    <w:bookmarkEnd w:id="8"/>
    <w:p w:rsidR="006E199B" w:rsidRDefault="007F5786" w:rsidP="00BD4E2C">
      <w:pPr>
        <w:pStyle w:val="Heading2"/>
      </w:pPr>
      <w:r>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There were 113 trading intervals throughout the week where actual prices varied significantly from forecasts. This compares to the weekly average in 2012 of 60 counts and the average in 2011 of 78</w:t>
      </w:r>
      <w:r w:rsidR="009559D6" w:rsidRPr="00D70101">
        <w:t xml:space="preserve">. </w:t>
      </w:r>
      <w:r w:rsidR="009559D6" w:rsidRPr="00D70101">
        <w:lastRenderedPageBreak/>
        <w:t>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5B12B7" w:rsidRPr="00155A20" w:rsidTr="00CA5F6C">
        <w:trPr>
          <w:trHeight w:hRule="exact" w:val="454"/>
        </w:trPr>
        <w:tc>
          <w:tcPr>
            <w:tcW w:w="2127" w:type="dxa"/>
            <w:tcBorders>
              <w:bottom w:val="nil"/>
            </w:tcBorders>
            <w:shd w:val="clear" w:color="auto" w:fill="DDD9C3" w:themeFill="background2" w:themeFillShade="E6"/>
            <w:noWrap/>
            <w:vAlign w:val="center"/>
          </w:tcPr>
          <w:p w:rsidR="005B12B7" w:rsidRPr="00155A20" w:rsidRDefault="005B12B7">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5B12B7" w:rsidRPr="00155A20" w:rsidRDefault="005B12B7">
            <w:pPr>
              <w:jc w:val="center"/>
              <w:rPr>
                <w:rFonts w:cs="Gautami"/>
                <w:sz w:val="16"/>
                <w:szCs w:val="16"/>
              </w:rPr>
            </w:pPr>
            <w:r>
              <w:rPr>
                <w:rFonts w:cs="Gautami"/>
                <w:sz w:val="16"/>
                <w:szCs w:val="16"/>
              </w:rPr>
              <w:t>2</w:t>
            </w:r>
          </w:p>
        </w:tc>
        <w:tc>
          <w:tcPr>
            <w:tcW w:w="1418" w:type="dxa"/>
            <w:tcBorders>
              <w:bottom w:val="nil"/>
            </w:tcBorders>
            <w:shd w:val="clear" w:color="auto" w:fill="DDD9C3" w:themeFill="background2" w:themeFillShade="E6"/>
            <w:noWrap/>
            <w:vAlign w:val="center"/>
          </w:tcPr>
          <w:p w:rsidR="005B12B7" w:rsidRPr="00155A20" w:rsidRDefault="005B12B7">
            <w:pPr>
              <w:jc w:val="center"/>
              <w:rPr>
                <w:rFonts w:cs="Gautami"/>
                <w:sz w:val="16"/>
                <w:szCs w:val="16"/>
              </w:rPr>
            </w:pPr>
            <w:r>
              <w:rPr>
                <w:rFonts w:cs="Gautami"/>
                <w:sz w:val="16"/>
                <w:szCs w:val="16"/>
              </w:rPr>
              <w:t>6</w:t>
            </w:r>
          </w:p>
        </w:tc>
        <w:tc>
          <w:tcPr>
            <w:tcW w:w="1843" w:type="dxa"/>
            <w:tcBorders>
              <w:bottom w:val="nil"/>
            </w:tcBorders>
            <w:shd w:val="clear" w:color="auto" w:fill="DDD9C3" w:themeFill="background2" w:themeFillShade="E6"/>
            <w:noWrap/>
            <w:vAlign w:val="center"/>
          </w:tcPr>
          <w:p w:rsidR="005B12B7" w:rsidRPr="00155A20" w:rsidRDefault="005B12B7">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5B12B7" w:rsidRPr="00155A20" w:rsidRDefault="005B12B7">
            <w:pPr>
              <w:jc w:val="center"/>
              <w:rPr>
                <w:rFonts w:cs="Gautami"/>
                <w:sz w:val="16"/>
                <w:szCs w:val="16"/>
              </w:rPr>
            </w:pPr>
            <w:r>
              <w:rPr>
                <w:rFonts w:cs="Gautami"/>
                <w:sz w:val="16"/>
                <w:szCs w:val="16"/>
              </w:rPr>
              <w:t>2</w:t>
            </w:r>
          </w:p>
        </w:tc>
      </w:tr>
      <w:tr w:rsidR="005B12B7"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5B12B7" w:rsidRPr="00155A20" w:rsidRDefault="005B12B7">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5B12B7" w:rsidRPr="00155A20" w:rsidRDefault="005B12B7">
            <w:pPr>
              <w:jc w:val="center"/>
              <w:rPr>
                <w:rFonts w:cs="Gautami"/>
                <w:sz w:val="16"/>
                <w:szCs w:val="16"/>
              </w:rPr>
            </w:pPr>
            <w:r>
              <w:rPr>
                <w:rFonts w:cs="Gautami"/>
                <w:sz w:val="16"/>
                <w:szCs w:val="16"/>
              </w:rPr>
              <w:t>22</w:t>
            </w:r>
          </w:p>
        </w:tc>
        <w:tc>
          <w:tcPr>
            <w:tcW w:w="1418" w:type="dxa"/>
            <w:tcBorders>
              <w:top w:val="nil"/>
              <w:bottom w:val="single" w:sz="4" w:space="0" w:color="auto"/>
            </w:tcBorders>
            <w:shd w:val="clear" w:color="auto" w:fill="EEECE1" w:themeFill="background2"/>
            <w:noWrap/>
            <w:vAlign w:val="center"/>
          </w:tcPr>
          <w:p w:rsidR="005B12B7" w:rsidRPr="00155A20" w:rsidRDefault="005B12B7" w:rsidP="00155A20">
            <w:pPr>
              <w:jc w:val="center"/>
              <w:rPr>
                <w:rFonts w:cs="Gautami"/>
                <w:sz w:val="16"/>
                <w:szCs w:val="16"/>
              </w:rPr>
            </w:pPr>
            <w:r>
              <w:rPr>
                <w:rFonts w:cs="Gautami"/>
                <w:sz w:val="16"/>
                <w:szCs w:val="16"/>
              </w:rPr>
              <w:t>45</w:t>
            </w:r>
          </w:p>
        </w:tc>
        <w:tc>
          <w:tcPr>
            <w:tcW w:w="1843" w:type="dxa"/>
            <w:tcBorders>
              <w:top w:val="nil"/>
              <w:bottom w:val="single" w:sz="4" w:space="0" w:color="auto"/>
            </w:tcBorders>
            <w:shd w:val="clear" w:color="auto" w:fill="EEECE1" w:themeFill="background2"/>
            <w:noWrap/>
            <w:vAlign w:val="center"/>
          </w:tcPr>
          <w:p w:rsidR="005B12B7" w:rsidRPr="00155A20" w:rsidRDefault="005B12B7">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5B12B7" w:rsidRPr="00155A20" w:rsidRDefault="005B12B7">
            <w:pPr>
              <w:jc w:val="center"/>
              <w:rPr>
                <w:rFonts w:cs="Gautami"/>
                <w:sz w:val="16"/>
                <w:szCs w:val="16"/>
              </w:rPr>
            </w:pPr>
            <w:r>
              <w:rPr>
                <w:rFonts w:cs="Gautami"/>
                <w:sz w:val="16"/>
                <w:szCs w:val="16"/>
              </w:rPr>
              <w:t>23</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F4461C">
      <w:pPr>
        <w:pStyle w:val="Figureheading"/>
        <w:numPr>
          <w:ilvl w:val="0"/>
          <w:numId w:val="0"/>
        </w:numPr>
        <w:ind w:left="357" w:hanging="357"/>
      </w:pPr>
      <w:r w:rsidRPr="0030575B">
        <w:t>Figure 2: Queensland generation and bidding patterns</w:t>
      </w:r>
    </w:p>
    <w:p w:rsidR="00785F23" w:rsidRPr="00785F23" w:rsidRDefault="00727837" w:rsidP="00785F23">
      <w:pPr>
        <w:pStyle w:val="AERbodytext"/>
      </w:pPr>
      <w:r>
        <w:pict>
          <v:shape id="_x0000_i1028"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0.55pt;height:307.45pt">
            <v:imagedata r:id="rId13" o:title=""/>
          </v:shape>
        </w:pict>
      </w:r>
    </w:p>
    <w:p w:rsidR="00F4461C" w:rsidRPr="0030575B" w:rsidRDefault="00F4461C" w:rsidP="00F4461C">
      <w:pPr>
        <w:pStyle w:val="AERbodytext"/>
        <w:spacing w:after="120"/>
      </w:pPr>
    </w:p>
    <w:p w:rsidR="00F4461C" w:rsidRDefault="00F4461C" w:rsidP="00F4461C">
      <w:pPr>
        <w:pStyle w:val="Figureheading"/>
        <w:numPr>
          <w:ilvl w:val="0"/>
          <w:numId w:val="0"/>
        </w:numPr>
        <w:ind w:left="357" w:hanging="357"/>
      </w:pPr>
      <w:r w:rsidRPr="0030575B">
        <w:t>Figure 3: New South Wales generation and bidding patterns</w:t>
      </w:r>
    </w:p>
    <w:p w:rsidR="00785F23" w:rsidRPr="00785F23" w:rsidRDefault="00727837" w:rsidP="00785F23">
      <w:pPr>
        <w:pStyle w:val="AERbodytext"/>
      </w:pPr>
      <w:r>
        <w:pict>
          <v:shape id="_x0000_i1029"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0.55pt;height:307.45pt">
            <v:imagedata r:id="rId14" o:title=""/>
          </v:shape>
        </w:pict>
      </w:r>
    </w:p>
    <w:p w:rsidR="00F4461C" w:rsidRPr="00D70101" w:rsidRDefault="00F4461C" w:rsidP="00F4461C">
      <w:pPr>
        <w:pStyle w:val="AERbodytext"/>
        <w:spacing w:after="120"/>
        <w:rPr>
          <w:color w:val="FF0000"/>
        </w:rPr>
      </w:pPr>
    </w:p>
    <w:p w:rsidR="00F4461C"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785F23" w:rsidRPr="00785F23" w:rsidRDefault="00727837" w:rsidP="00785F23">
      <w:pPr>
        <w:pStyle w:val="AERbodytext"/>
      </w:pPr>
      <w:r>
        <w:pict>
          <v:shape id="_x0000_i1030"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55pt;height:307.45pt">
            <v:imagedata r:id="rId15" o:title=""/>
          </v:shape>
        </w:pict>
      </w:r>
    </w:p>
    <w:p w:rsidR="00F4461C" w:rsidRPr="00D70101" w:rsidRDefault="00F4461C" w:rsidP="00F4461C">
      <w:pPr>
        <w:pStyle w:val="AERbodytext"/>
        <w:spacing w:after="120"/>
        <w:rPr>
          <w:color w:val="FF0000"/>
        </w:rPr>
      </w:pPr>
    </w:p>
    <w:p w:rsidR="00C52BE5" w:rsidRPr="0030575B"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B027E9" w:rsidRPr="00D70101" w:rsidRDefault="00727837">
      <w:pPr>
        <w:pStyle w:val="AERbodytext"/>
        <w:spacing w:after="120"/>
        <w:rPr>
          <w:color w:val="FF0000"/>
        </w:rPr>
      </w:pPr>
      <w:r>
        <w:pict>
          <v:shape id="_x0000_i1031"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0.55pt;height:308.3pt">
            <v:imagedata r:id="rId16" o:title=""/>
          </v:shape>
        </w:pict>
      </w:r>
    </w:p>
    <w:p w:rsidR="0048688D" w:rsidRPr="0030575B"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727837">
      <w:pPr>
        <w:pStyle w:val="AERbodytext"/>
        <w:spacing w:after="120"/>
      </w:pPr>
      <w:r>
        <w:pict>
          <v:shape id="_x0000_i1032"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0.55pt;height:307.45pt">
            <v:imagedata r:id="rId17" o:title=""/>
          </v:shape>
        </w:pict>
      </w:r>
    </w:p>
    <w:p w:rsidR="000F3533" w:rsidRPr="00D70101" w:rsidRDefault="000F3533">
      <w:pPr>
        <w:pStyle w:val="AERbodytext"/>
        <w:spacing w:after="120"/>
        <w:rPr>
          <w:color w:val="FF0000"/>
        </w:rPr>
      </w:pPr>
    </w:p>
    <w:p w:rsidR="00977DC4" w:rsidRDefault="000125FD" w:rsidP="00BD4E2C">
      <w:pPr>
        <w:pStyle w:val="Heading2"/>
      </w:pPr>
      <w:r>
        <w:t>Frequency control a</w:t>
      </w:r>
      <w:r w:rsidR="00221B68">
        <w:t>ncillary services market</w:t>
      </w:r>
      <w:r>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r w:rsidRPr="00B61C11">
        <w:rPr>
          <w:i/>
        </w:rPr>
        <w:t>delayed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F618E2" w:rsidP="00021E37">
      <w:pPr>
        <w:pStyle w:val="AERbodytext"/>
      </w:pPr>
      <w:r w:rsidRPr="00F618E2">
        <w:t>The total cost of FCAS on the mainland for the week was $276</w:t>
      </w:r>
      <w:r w:rsidR="00F436F8">
        <w:t> </w:t>
      </w:r>
      <w:r w:rsidRPr="00F618E2">
        <w:t>000 or less than 1 per cent of energy turnover on the</w:t>
      </w:r>
      <w:r>
        <w:t xml:space="preserve"> mainland</w:t>
      </w:r>
      <w:r w:rsidR="00221B68" w:rsidRPr="00021E37">
        <w:t xml:space="preserve">. </w:t>
      </w:r>
      <w:r w:rsidR="00753DF7" w:rsidRPr="00021E37">
        <w:t xml:space="preserve">In </w:t>
      </w:r>
      <w:r w:rsidR="00221B68" w:rsidRPr="00021E37">
        <w:t xml:space="preserve">Tasmania </w:t>
      </w:r>
      <w:r w:rsidR="00753DF7" w:rsidRPr="00021E37">
        <w:t xml:space="preserve">(which requires dedicated services for much of the time) the total cost </w:t>
      </w:r>
      <w:r w:rsidR="00221B68" w:rsidRPr="00021E37">
        <w:t>for the week was $</w:t>
      </w:r>
      <w:r w:rsidR="00235171">
        <w:t>5</w:t>
      </w:r>
      <w:r>
        <w:t>7</w:t>
      </w:r>
      <w:r w:rsidR="00221B68" w:rsidRPr="00021E37">
        <w:t> </w:t>
      </w:r>
      <w:r>
        <w:t>5</w:t>
      </w:r>
      <w:r w:rsidR="00221B68" w:rsidRPr="00021E37">
        <w:t xml:space="preserve">00 or </w:t>
      </w:r>
      <w:r w:rsidR="008245F0" w:rsidRPr="00021E37">
        <w:t xml:space="preserve">less than one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t xml:space="preserve">Figure </w:t>
      </w:r>
      <w:r w:rsidR="00E27C7A" w:rsidRPr="0030575B">
        <w:t>7</w:t>
      </w:r>
      <w:r w:rsidRPr="0030575B">
        <w:t>: Daily frequency control ancillary service cost</w:t>
      </w:r>
    </w:p>
    <w:p w:rsidR="00235171" w:rsidRPr="00235171" w:rsidRDefault="00727837" w:rsidP="00235171">
      <w:pPr>
        <w:pStyle w:val="AERbodytext"/>
      </w:pPr>
      <w:r>
        <w:pict>
          <v:shape id="_x0000_i1033" type="#_x0000_t75" alt="Figure 7 shows the daily breakdown of cost for each FCAS for the NEM, as well as the average cost since the beginning of the previous financial year.&#10;Should you require a description of the data for the week under review, please email us at  AERInquiry@aer.gov.au." style="width:450.55pt;height:224.4pt">
            <v:imagedata r:id="rId18" o:title=""/>
          </v:shape>
        </w:pict>
      </w:r>
    </w:p>
    <w:p w:rsidR="00B027E9" w:rsidRPr="00D70101" w:rsidRDefault="00B027E9">
      <w:pPr>
        <w:pStyle w:val="AERbodytext"/>
        <w:spacing w:after="0"/>
        <w:rPr>
          <w:color w:val="FF0000"/>
        </w:rPr>
      </w:pPr>
    </w:p>
    <w:p w:rsidR="00235171" w:rsidRDefault="00235171" w:rsidP="00BD4E2C">
      <w:pPr>
        <w:pStyle w:val="Heading2"/>
      </w:pPr>
    </w:p>
    <w:p w:rsidR="00F618E2" w:rsidRPr="00F618E2" w:rsidRDefault="00F618E2" w:rsidP="0089401B"/>
    <w:bookmarkEnd w:id="0"/>
    <w:bookmarkEnd w:id="1"/>
    <w:bookmarkEnd w:id="2"/>
    <w:bookmarkEnd w:id="3"/>
    <w:bookmarkEnd w:id="4"/>
    <w:bookmarkEnd w:id="5"/>
    <w:p w:rsidR="000F5692" w:rsidRDefault="000F5692" w:rsidP="0089401B">
      <w:pPr>
        <w:pStyle w:val="AERbodytext"/>
      </w:pPr>
    </w:p>
    <w:p w:rsidR="000F5692" w:rsidRDefault="000F5692" w:rsidP="000F5692">
      <w:pPr>
        <w:pStyle w:val="Heading2"/>
      </w:pPr>
      <w:r>
        <w:t>Detailed market analysis of significant price events</w:t>
      </w:r>
    </w:p>
    <w:p w:rsidR="000F5692" w:rsidRPr="00617793" w:rsidRDefault="000F5692" w:rsidP="000F5692">
      <w:pPr>
        <w:pStyle w:val="AERbodytext"/>
      </w:pPr>
      <w:r>
        <w:t xml:space="preserve">We provide more detailed analysis of events where the spot price was greater than three times the </w:t>
      </w:r>
      <w:r w:rsidR="00317E23" w:rsidRPr="00617793">
        <w:t xml:space="preserve">weekly </w:t>
      </w:r>
      <w:r w:rsidRPr="00617793">
        <w:t xml:space="preserve">average price in a region and above $250/MWh or was below </w:t>
      </w:r>
      <w:r w:rsidRPr="00617793">
        <w:noBreakHyphen/>
        <w:t xml:space="preserve">$100/MWh. </w:t>
      </w:r>
    </w:p>
    <w:p w:rsidR="000F5692" w:rsidRPr="00617793" w:rsidRDefault="000F5692" w:rsidP="000F5692">
      <w:pPr>
        <w:pStyle w:val="AERbodytext"/>
        <w:rPr>
          <w:lang w:eastAsia="en-AU"/>
        </w:rPr>
      </w:pPr>
      <w:r w:rsidRPr="00617793">
        <w:rPr>
          <w:lang w:eastAsia="en-AU"/>
        </w:rPr>
        <w:t xml:space="preserve">There </w:t>
      </w:r>
      <w:r>
        <w:rPr>
          <w:lang w:eastAsia="en-AU"/>
        </w:rPr>
        <w:t>was one</w:t>
      </w:r>
      <w:r w:rsidRPr="00617793">
        <w:rPr>
          <w:lang w:eastAsia="en-AU"/>
        </w:rPr>
        <w:t xml:space="preserve"> such occasion during this week, which occurred in </w:t>
      </w:r>
      <w:r>
        <w:rPr>
          <w:lang w:eastAsia="en-AU"/>
        </w:rPr>
        <w:t>Queensland</w:t>
      </w:r>
      <w:r w:rsidRPr="00617793">
        <w:rPr>
          <w:lang w:eastAsia="en-AU"/>
        </w:rPr>
        <w:t xml:space="preserve"> on </w:t>
      </w:r>
      <w:r>
        <w:rPr>
          <w:lang w:eastAsia="en-AU"/>
        </w:rPr>
        <w:t>Wednesday</w:t>
      </w:r>
      <w:r w:rsidRPr="00617793">
        <w:rPr>
          <w:lang w:eastAsia="en-AU"/>
        </w:rPr>
        <w:t> </w:t>
      </w:r>
      <w:r>
        <w:rPr>
          <w:lang w:eastAsia="en-AU"/>
        </w:rPr>
        <w:t>2</w:t>
      </w:r>
      <w:r w:rsidRPr="00617793">
        <w:rPr>
          <w:lang w:eastAsia="en-AU"/>
        </w:rPr>
        <w:t xml:space="preserve">4 </w:t>
      </w:r>
      <w:r>
        <w:rPr>
          <w:lang w:eastAsia="en-AU"/>
        </w:rPr>
        <w:t>J</w:t>
      </w:r>
      <w:r w:rsidRPr="00617793">
        <w:rPr>
          <w:lang w:eastAsia="en-AU"/>
        </w:rPr>
        <w:t>uly. The table below show</w:t>
      </w:r>
      <w:r w:rsidR="00317E23">
        <w:rPr>
          <w:lang w:eastAsia="en-AU"/>
        </w:rPr>
        <w:t>s</w:t>
      </w:r>
      <w:r w:rsidRPr="00617793">
        <w:rPr>
          <w:lang w:eastAsia="en-AU"/>
        </w:rPr>
        <w:t xml:space="preserve"> </w:t>
      </w:r>
      <w:r>
        <w:rPr>
          <w:lang w:eastAsia="en-AU"/>
        </w:rPr>
        <w:t xml:space="preserve">the </w:t>
      </w:r>
      <w:r w:rsidRPr="00617793">
        <w:rPr>
          <w:lang w:eastAsia="en-AU"/>
        </w:rPr>
        <w:t xml:space="preserve">actual </w:t>
      </w:r>
      <w:r>
        <w:rPr>
          <w:lang w:eastAsia="en-AU"/>
        </w:rPr>
        <w:t>Queensland</w:t>
      </w:r>
      <w:r w:rsidRPr="00617793">
        <w:rPr>
          <w:lang w:eastAsia="en-AU"/>
        </w:rPr>
        <w:t xml:space="preserve"> price, demand and available capacity outcomes compared to those forecast 4 and 12 hour ahead. </w:t>
      </w:r>
    </w:p>
    <w:p w:rsidR="000F5692" w:rsidRPr="00470218" w:rsidRDefault="000F5692" w:rsidP="000F5692">
      <w:pPr>
        <w:pStyle w:val="AERtabletitle"/>
      </w:pPr>
      <w:r w:rsidRPr="00470218">
        <w:t xml:space="preserve">Table 3: </w:t>
      </w:r>
      <w:r>
        <w:t>Queensland</w:t>
      </w:r>
      <w:r w:rsidRPr="00470218">
        <w:t xml:space="preserve">, </w:t>
      </w:r>
      <w:r>
        <w:t>Wednesday</w:t>
      </w:r>
      <w:r w:rsidRPr="00470218">
        <w:t> </w:t>
      </w:r>
      <w:r>
        <w:t>24</w:t>
      </w:r>
      <w:r w:rsidRPr="00470218">
        <w:t> July</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0F5692" w:rsidRPr="00095C39" w:rsidTr="000F5692">
        <w:tc>
          <w:tcPr>
            <w:tcW w:w="2802" w:type="dxa"/>
            <w:shd w:val="clear" w:color="auto" w:fill="4A442A"/>
            <w:noWrap/>
            <w:vAlign w:val="bottom"/>
          </w:tcPr>
          <w:p w:rsidR="000F5692" w:rsidRPr="00186747" w:rsidRDefault="002E22A9" w:rsidP="000F5692">
            <w:pPr>
              <w:autoSpaceDE w:val="0"/>
              <w:autoSpaceDN w:val="0"/>
              <w:adjustRightInd w:val="0"/>
              <w:spacing w:before="100" w:after="100"/>
              <w:rPr>
                <w:color w:val="FFFFFF"/>
                <w:sz w:val="18"/>
                <w:szCs w:val="18"/>
              </w:rPr>
            </w:pPr>
            <w:r>
              <w:rPr>
                <w:b/>
                <w:bCs/>
                <w:color w:val="FFFFFF"/>
                <w:sz w:val="18"/>
                <w:szCs w:val="18"/>
              </w:rPr>
              <w:t>6:30</w:t>
            </w:r>
            <w:r w:rsidR="000F5692" w:rsidRPr="00186747">
              <w:rPr>
                <w:b/>
                <w:bCs/>
                <w:color w:val="FFFFFF"/>
                <w:sz w:val="18"/>
                <w:szCs w:val="18"/>
              </w:rPr>
              <w:t xml:space="preserve"> </w:t>
            </w:r>
            <w:r>
              <w:rPr>
                <w:b/>
                <w:bCs/>
                <w:color w:val="FFFFFF"/>
                <w:sz w:val="18"/>
                <w:szCs w:val="18"/>
              </w:rPr>
              <w:t>A</w:t>
            </w:r>
            <w:r w:rsidR="000F5692" w:rsidRPr="00186747">
              <w:rPr>
                <w:b/>
                <w:bCs/>
                <w:color w:val="FFFFFF"/>
                <w:sz w:val="18"/>
                <w:szCs w:val="18"/>
              </w:rPr>
              <w:t>M</w:t>
            </w:r>
          </w:p>
        </w:tc>
        <w:tc>
          <w:tcPr>
            <w:tcW w:w="2090" w:type="dxa"/>
            <w:shd w:val="clear" w:color="auto" w:fill="4A442A"/>
            <w:noWrap/>
            <w:vAlign w:val="bottom"/>
          </w:tcPr>
          <w:p w:rsidR="000F5692" w:rsidRPr="00186747" w:rsidRDefault="000F5692" w:rsidP="000F5692">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0F5692" w:rsidRPr="00186747" w:rsidRDefault="000F5692" w:rsidP="000F5692">
            <w:pPr>
              <w:autoSpaceDE w:val="0"/>
              <w:autoSpaceDN w:val="0"/>
              <w:adjustRightInd w:val="0"/>
              <w:spacing w:before="100" w:after="100"/>
              <w:jc w:val="center"/>
              <w:rPr>
                <w:color w:val="FFFFFF"/>
                <w:sz w:val="18"/>
                <w:szCs w:val="18"/>
              </w:rPr>
            </w:pPr>
            <w:r w:rsidRPr="00186747">
              <w:rPr>
                <w:b/>
                <w:bCs/>
                <w:color w:val="FFFFFF"/>
                <w:sz w:val="18"/>
                <w:szCs w:val="18"/>
              </w:rPr>
              <w:t>4 hr forecast</w:t>
            </w:r>
          </w:p>
        </w:tc>
        <w:tc>
          <w:tcPr>
            <w:tcW w:w="2090" w:type="dxa"/>
            <w:shd w:val="clear" w:color="auto" w:fill="4A442A"/>
            <w:noWrap/>
            <w:vAlign w:val="bottom"/>
          </w:tcPr>
          <w:p w:rsidR="000F5692" w:rsidRPr="00186747" w:rsidRDefault="000F5692" w:rsidP="000F5692">
            <w:pPr>
              <w:autoSpaceDE w:val="0"/>
              <w:autoSpaceDN w:val="0"/>
              <w:adjustRightInd w:val="0"/>
              <w:spacing w:before="100" w:after="100"/>
              <w:jc w:val="center"/>
              <w:rPr>
                <w:color w:val="FFFFFF"/>
                <w:sz w:val="18"/>
                <w:szCs w:val="18"/>
              </w:rPr>
            </w:pPr>
            <w:r w:rsidRPr="00186747">
              <w:rPr>
                <w:b/>
                <w:bCs/>
                <w:color w:val="FFFFFF"/>
                <w:sz w:val="18"/>
                <w:szCs w:val="18"/>
              </w:rPr>
              <w:t>12 hr forecast</w:t>
            </w:r>
          </w:p>
        </w:tc>
      </w:tr>
      <w:tr w:rsidR="000F5692" w:rsidRPr="00095C39" w:rsidTr="0089401B">
        <w:tc>
          <w:tcPr>
            <w:tcW w:w="2802" w:type="dxa"/>
            <w:shd w:val="clear" w:color="auto" w:fill="DDD9C3"/>
            <w:noWrap/>
            <w:vAlign w:val="bottom"/>
          </w:tcPr>
          <w:p w:rsidR="000F5692" w:rsidRPr="00470218" w:rsidRDefault="000F5692" w:rsidP="000F5692">
            <w:pPr>
              <w:autoSpaceDE w:val="0"/>
              <w:autoSpaceDN w:val="0"/>
              <w:adjustRightInd w:val="0"/>
              <w:spacing w:before="100" w:after="100"/>
              <w:rPr>
                <w:b/>
                <w:sz w:val="16"/>
                <w:szCs w:val="16"/>
              </w:rPr>
            </w:pPr>
            <w:r w:rsidRPr="00470218">
              <w:rPr>
                <w:b/>
                <w:sz w:val="16"/>
                <w:szCs w:val="16"/>
              </w:rPr>
              <w:t>Price ($/MWh)</w:t>
            </w:r>
          </w:p>
        </w:tc>
        <w:tc>
          <w:tcPr>
            <w:tcW w:w="2090" w:type="dxa"/>
            <w:shd w:val="clear" w:color="auto" w:fill="DDD9C3"/>
            <w:noWrap/>
            <w:vAlign w:val="center"/>
          </w:tcPr>
          <w:p w:rsidR="000F5692" w:rsidRPr="000F5692" w:rsidRDefault="000F5692">
            <w:pPr>
              <w:jc w:val="center"/>
              <w:rPr>
                <w:rFonts w:cs="Gautami"/>
                <w:sz w:val="16"/>
                <w:szCs w:val="16"/>
              </w:rPr>
            </w:pPr>
            <w:r w:rsidRPr="0089401B">
              <w:rPr>
                <w:rFonts w:ascii="Arial" w:hAnsi="Arial" w:cs="Arial"/>
                <w:sz w:val="16"/>
                <w:szCs w:val="16"/>
              </w:rPr>
              <w:t>2243.81</w:t>
            </w:r>
          </w:p>
        </w:tc>
        <w:tc>
          <w:tcPr>
            <w:tcW w:w="2090" w:type="dxa"/>
            <w:shd w:val="clear" w:color="auto" w:fill="DDD9C3"/>
            <w:noWrap/>
            <w:vAlign w:val="center"/>
          </w:tcPr>
          <w:p w:rsidR="000F5692" w:rsidRPr="000F5692" w:rsidRDefault="000F5692">
            <w:pPr>
              <w:jc w:val="center"/>
              <w:rPr>
                <w:rFonts w:cs="Gautami"/>
                <w:sz w:val="16"/>
                <w:szCs w:val="16"/>
              </w:rPr>
            </w:pPr>
            <w:r w:rsidRPr="0089401B">
              <w:rPr>
                <w:rFonts w:ascii="Arial" w:hAnsi="Arial" w:cs="Arial"/>
                <w:sz w:val="16"/>
                <w:szCs w:val="16"/>
              </w:rPr>
              <w:t>56.12</w:t>
            </w:r>
          </w:p>
        </w:tc>
        <w:tc>
          <w:tcPr>
            <w:tcW w:w="2090" w:type="dxa"/>
            <w:shd w:val="clear" w:color="auto" w:fill="DDD9C3"/>
            <w:noWrap/>
            <w:vAlign w:val="center"/>
          </w:tcPr>
          <w:p w:rsidR="000F5692" w:rsidRPr="000F5692" w:rsidRDefault="000F5692">
            <w:pPr>
              <w:jc w:val="center"/>
              <w:rPr>
                <w:rFonts w:cs="Gautami"/>
                <w:sz w:val="16"/>
                <w:szCs w:val="16"/>
              </w:rPr>
            </w:pPr>
            <w:r w:rsidRPr="0089401B">
              <w:rPr>
                <w:rFonts w:ascii="Arial" w:hAnsi="Arial" w:cs="Arial"/>
                <w:sz w:val="16"/>
                <w:szCs w:val="16"/>
              </w:rPr>
              <w:t>66.21</w:t>
            </w:r>
          </w:p>
        </w:tc>
      </w:tr>
      <w:tr w:rsidR="000F5692" w:rsidRPr="00095C39" w:rsidTr="0089401B">
        <w:tc>
          <w:tcPr>
            <w:tcW w:w="2802" w:type="dxa"/>
            <w:tcBorders>
              <w:bottom w:val="nil"/>
            </w:tcBorders>
            <w:shd w:val="clear" w:color="auto" w:fill="EEECE1"/>
            <w:noWrap/>
            <w:vAlign w:val="bottom"/>
          </w:tcPr>
          <w:p w:rsidR="000F5692" w:rsidRPr="00470218" w:rsidRDefault="000F5692" w:rsidP="000F5692">
            <w:pPr>
              <w:autoSpaceDE w:val="0"/>
              <w:autoSpaceDN w:val="0"/>
              <w:adjustRightInd w:val="0"/>
              <w:spacing w:before="100" w:after="100"/>
              <w:rPr>
                <w:b/>
                <w:sz w:val="16"/>
                <w:szCs w:val="16"/>
              </w:rPr>
            </w:pPr>
            <w:r w:rsidRPr="00470218">
              <w:rPr>
                <w:b/>
                <w:sz w:val="16"/>
                <w:szCs w:val="16"/>
              </w:rPr>
              <w:t>Demand (MW)</w:t>
            </w:r>
          </w:p>
        </w:tc>
        <w:tc>
          <w:tcPr>
            <w:tcW w:w="2090" w:type="dxa"/>
            <w:tcBorders>
              <w:bottom w:val="nil"/>
            </w:tcBorders>
            <w:shd w:val="clear" w:color="auto" w:fill="EEECE1"/>
            <w:noWrap/>
            <w:vAlign w:val="center"/>
          </w:tcPr>
          <w:p w:rsidR="000F5692" w:rsidRPr="000F5692" w:rsidRDefault="000F5692">
            <w:pPr>
              <w:jc w:val="center"/>
              <w:rPr>
                <w:rFonts w:cs="Gautami"/>
                <w:sz w:val="16"/>
                <w:szCs w:val="16"/>
              </w:rPr>
            </w:pPr>
            <w:r w:rsidRPr="0089401B">
              <w:rPr>
                <w:rFonts w:ascii="Arial" w:hAnsi="Arial" w:cs="Arial"/>
                <w:sz w:val="16"/>
                <w:szCs w:val="16"/>
              </w:rPr>
              <w:t>5750</w:t>
            </w:r>
          </w:p>
        </w:tc>
        <w:tc>
          <w:tcPr>
            <w:tcW w:w="2090" w:type="dxa"/>
            <w:tcBorders>
              <w:bottom w:val="nil"/>
            </w:tcBorders>
            <w:shd w:val="clear" w:color="auto" w:fill="EEECE1"/>
            <w:noWrap/>
            <w:vAlign w:val="center"/>
          </w:tcPr>
          <w:p w:rsidR="000F5692" w:rsidRPr="000F5692" w:rsidRDefault="000F5692">
            <w:pPr>
              <w:jc w:val="center"/>
              <w:rPr>
                <w:rFonts w:cs="Gautami"/>
                <w:sz w:val="16"/>
                <w:szCs w:val="16"/>
              </w:rPr>
            </w:pPr>
            <w:r w:rsidRPr="0089401B">
              <w:rPr>
                <w:rFonts w:ascii="Arial" w:hAnsi="Arial" w:cs="Arial"/>
                <w:sz w:val="16"/>
                <w:szCs w:val="16"/>
              </w:rPr>
              <w:t>5680</w:t>
            </w:r>
          </w:p>
        </w:tc>
        <w:tc>
          <w:tcPr>
            <w:tcW w:w="2090" w:type="dxa"/>
            <w:tcBorders>
              <w:bottom w:val="nil"/>
            </w:tcBorders>
            <w:shd w:val="clear" w:color="auto" w:fill="EEECE1"/>
            <w:noWrap/>
            <w:vAlign w:val="center"/>
          </w:tcPr>
          <w:p w:rsidR="000F5692" w:rsidRPr="000F5692" w:rsidRDefault="000F5692">
            <w:pPr>
              <w:jc w:val="center"/>
              <w:rPr>
                <w:rFonts w:cs="Gautami"/>
                <w:sz w:val="16"/>
                <w:szCs w:val="16"/>
              </w:rPr>
            </w:pPr>
            <w:r w:rsidRPr="0089401B">
              <w:rPr>
                <w:rFonts w:ascii="Arial" w:hAnsi="Arial" w:cs="Arial"/>
                <w:sz w:val="16"/>
                <w:szCs w:val="16"/>
              </w:rPr>
              <w:t>5709</w:t>
            </w:r>
          </w:p>
        </w:tc>
      </w:tr>
      <w:tr w:rsidR="000F5692" w:rsidRPr="00095C39" w:rsidTr="0089401B">
        <w:tc>
          <w:tcPr>
            <w:tcW w:w="2802" w:type="dxa"/>
            <w:tcBorders>
              <w:top w:val="nil"/>
              <w:bottom w:val="single" w:sz="4" w:space="0" w:color="auto"/>
            </w:tcBorders>
            <w:shd w:val="clear" w:color="auto" w:fill="DDD9C3"/>
            <w:noWrap/>
            <w:vAlign w:val="bottom"/>
          </w:tcPr>
          <w:p w:rsidR="000F5692" w:rsidRPr="00470218" w:rsidRDefault="000F5692" w:rsidP="000F5692">
            <w:pPr>
              <w:autoSpaceDE w:val="0"/>
              <w:autoSpaceDN w:val="0"/>
              <w:adjustRightInd w:val="0"/>
              <w:spacing w:before="100" w:after="100"/>
              <w:rPr>
                <w:b/>
                <w:sz w:val="16"/>
                <w:szCs w:val="16"/>
              </w:rPr>
            </w:pPr>
            <w:r w:rsidRPr="00470218">
              <w:rPr>
                <w:b/>
                <w:sz w:val="16"/>
                <w:szCs w:val="16"/>
              </w:rPr>
              <w:t>Available capacity (MW)</w:t>
            </w:r>
          </w:p>
        </w:tc>
        <w:tc>
          <w:tcPr>
            <w:tcW w:w="2090" w:type="dxa"/>
            <w:tcBorders>
              <w:top w:val="nil"/>
              <w:bottom w:val="single" w:sz="4" w:space="0" w:color="auto"/>
            </w:tcBorders>
            <w:shd w:val="clear" w:color="auto" w:fill="DDD9C3"/>
            <w:noWrap/>
            <w:vAlign w:val="center"/>
          </w:tcPr>
          <w:p w:rsidR="000F5692" w:rsidRPr="000F5692" w:rsidRDefault="000F5692">
            <w:pPr>
              <w:jc w:val="center"/>
              <w:rPr>
                <w:rFonts w:cs="Gautami"/>
                <w:sz w:val="16"/>
                <w:szCs w:val="16"/>
              </w:rPr>
            </w:pPr>
            <w:r w:rsidRPr="0089401B">
              <w:rPr>
                <w:rFonts w:ascii="Arial" w:hAnsi="Arial" w:cs="Arial"/>
                <w:sz w:val="16"/>
                <w:szCs w:val="16"/>
              </w:rPr>
              <w:t>9601</w:t>
            </w:r>
          </w:p>
        </w:tc>
        <w:tc>
          <w:tcPr>
            <w:tcW w:w="2090" w:type="dxa"/>
            <w:tcBorders>
              <w:top w:val="nil"/>
              <w:bottom w:val="single" w:sz="4" w:space="0" w:color="auto"/>
            </w:tcBorders>
            <w:shd w:val="clear" w:color="auto" w:fill="DDD9C3"/>
            <w:noWrap/>
            <w:vAlign w:val="center"/>
          </w:tcPr>
          <w:p w:rsidR="000F5692" w:rsidRPr="000F5692" w:rsidRDefault="000F5692">
            <w:pPr>
              <w:jc w:val="center"/>
              <w:rPr>
                <w:rFonts w:cs="Gautami"/>
                <w:sz w:val="16"/>
                <w:szCs w:val="16"/>
              </w:rPr>
            </w:pPr>
            <w:r w:rsidRPr="0089401B">
              <w:rPr>
                <w:rFonts w:ascii="Arial" w:hAnsi="Arial" w:cs="Arial"/>
                <w:sz w:val="16"/>
                <w:szCs w:val="16"/>
              </w:rPr>
              <w:t>9489</w:t>
            </w:r>
          </w:p>
        </w:tc>
        <w:tc>
          <w:tcPr>
            <w:tcW w:w="2090" w:type="dxa"/>
            <w:tcBorders>
              <w:top w:val="nil"/>
              <w:bottom w:val="single" w:sz="4" w:space="0" w:color="auto"/>
            </w:tcBorders>
            <w:shd w:val="clear" w:color="auto" w:fill="DDD9C3"/>
            <w:noWrap/>
            <w:vAlign w:val="center"/>
          </w:tcPr>
          <w:p w:rsidR="000F5692" w:rsidRPr="000F5692" w:rsidRDefault="000F5692">
            <w:pPr>
              <w:jc w:val="center"/>
              <w:rPr>
                <w:rFonts w:cs="Gautami"/>
                <w:sz w:val="16"/>
                <w:szCs w:val="16"/>
              </w:rPr>
            </w:pPr>
            <w:r w:rsidRPr="0089401B">
              <w:rPr>
                <w:rFonts w:ascii="Arial" w:hAnsi="Arial" w:cs="Arial"/>
                <w:sz w:val="16"/>
                <w:szCs w:val="16"/>
              </w:rPr>
              <w:t>9659</w:t>
            </w:r>
          </w:p>
        </w:tc>
      </w:tr>
    </w:tbl>
    <w:p w:rsidR="000F5692" w:rsidRDefault="000F5692" w:rsidP="000F5692">
      <w:pPr>
        <w:pStyle w:val="AERbodytext"/>
        <w:rPr>
          <w:lang w:eastAsia="en-AU"/>
        </w:rPr>
      </w:pPr>
    </w:p>
    <w:p w:rsidR="000F5692" w:rsidRDefault="000F5692" w:rsidP="0089401B">
      <w:pPr>
        <w:pStyle w:val="AERbodytext"/>
      </w:pPr>
      <w:r>
        <w:t>Conditions at the time saw demand 70 MW and available capacity 112 MW greater than that forecast four hours ahead.</w:t>
      </w:r>
      <w:r w:rsidDel="00D97526">
        <w:t xml:space="preserve"> </w:t>
      </w:r>
      <w:r>
        <w:t>At 6.08 am, effective at 6.10 am, CS Energy rebid 120 MW at Gladstone from prices below $55/MWh to above $12 700/MWh. The reason given was “Portfolio rearrangement due to-cb2 return–S</w:t>
      </w:r>
      <w:r w:rsidR="002E22A9">
        <w:t>L</w:t>
      </w:r>
      <w:r>
        <w:t>”.</w:t>
      </w:r>
    </w:p>
    <w:p w:rsidR="000F5692" w:rsidRDefault="000F5692" w:rsidP="0089401B">
      <w:pPr>
        <w:pStyle w:val="AERbodytext"/>
      </w:pPr>
      <w:r>
        <w:t xml:space="preserve">Over two rebids at 6.02 am and 6.17 am, effective from 6.10 am and 6.25 am respectively, CS Energy reduced the availability of Kogan Creek by </w:t>
      </w:r>
      <w:r w:rsidR="00F436F8">
        <w:t xml:space="preserve">a total of </w:t>
      </w:r>
      <w:r>
        <w:t xml:space="preserve">138 MW. </w:t>
      </w:r>
      <w:r w:rsidR="00F436F8">
        <w:t xml:space="preserve">All of this capacity was priced below $40/MWh. This saw Kogan Creek output decreased from around 720 MW at 6.05 am to 587 MW at 6.25 am. </w:t>
      </w:r>
      <w:r>
        <w:t>The reasons given were “Testing –F/F out of service – SL” and “Technical issues –runback due to F/F issue – SL”. These rebids were only effective for the 6.30 am trading interval.</w:t>
      </w:r>
    </w:p>
    <w:p w:rsidR="000F5692" w:rsidRDefault="000F5692" w:rsidP="0089401B">
      <w:pPr>
        <w:pStyle w:val="AERbodytext"/>
      </w:pPr>
      <w:r>
        <w:t>At 6.30 am demand</w:t>
      </w:r>
      <w:r w:rsidR="006D2A3E">
        <w:t xml:space="preserve"> </w:t>
      </w:r>
      <w:r w:rsidR="00AF3EB6">
        <w:t xml:space="preserve">in Queensland increased </w:t>
      </w:r>
      <w:r>
        <w:t>by 164 MW (from 5828 MW at 6.25 am to 5992 MW at 6.30 am)</w:t>
      </w:r>
      <w:r w:rsidR="006D2A3E">
        <w:t>,</w:t>
      </w:r>
      <w:r>
        <w:t xml:space="preserve"> </w:t>
      </w:r>
      <w:r w:rsidR="00AF3EB6">
        <w:t xml:space="preserve">while </w:t>
      </w:r>
      <w:r>
        <w:t xml:space="preserve">the export limit on QNI </w:t>
      </w:r>
      <w:r w:rsidR="00AF3EB6">
        <w:t xml:space="preserve">reduced </w:t>
      </w:r>
      <w:r>
        <w:t xml:space="preserve">by 78 MW into Queensland (from 330 MW to 258 MW). The reduction in limit </w:t>
      </w:r>
      <w:r w:rsidR="00AF3EB6">
        <w:t xml:space="preserve">occurred when </w:t>
      </w:r>
      <w:r>
        <w:t>a constraint used to</w:t>
      </w:r>
      <w:r w:rsidR="00432052">
        <w:t xml:space="preserve"> manage voltage stability</w:t>
      </w:r>
      <w:r>
        <w:t xml:space="preserve"> on the loss of Kogan Creek</w:t>
      </w:r>
      <w:r w:rsidR="00AF3EB6">
        <w:t xml:space="preserve"> bound</w:t>
      </w:r>
      <w:r>
        <w:t xml:space="preserve">. </w:t>
      </w:r>
    </w:p>
    <w:p w:rsidR="000F5692" w:rsidRDefault="00AF3EB6" w:rsidP="0089401B">
      <w:pPr>
        <w:pStyle w:val="AERbodytext"/>
      </w:pPr>
      <w:r>
        <w:t>G</w:t>
      </w:r>
      <w:r w:rsidR="000F5692">
        <w:t>enerat</w:t>
      </w:r>
      <w:r w:rsidR="00432052">
        <w:t>ors with low priced capacity were</w:t>
      </w:r>
      <w:r w:rsidR="000F5692">
        <w:t xml:space="preserve"> either ramp rate limited</w:t>
      </w:r>
      <w:r w:rsidR="00432052">
        <w:t xml:space="preserve"> or limited by their</w:t>
      </w:r>
      <w:r w:rsidR="000F5692">
        <w:t xml:space="preserve"> fast start inflexibility profile, hence higher priced generation was dispatched, setting the price at $13 005/MWh at 6.30 am. </w:t>
      </w:r>
      <w:r>
        <w:t xml:space="preserve">By </w:t>
      </w:r>
      <w:r w:rsidR="000F5692">
        <w:t>6.35 am, with some generators no longer ramp rate limited and a step increase in low price capacity available at Kogan Creek, prices reduced to below $76/MWh</w:t>
      </w:r>
      <w:r w:rsidR="002E22A9">
        <w:t>.</w:t>
      </w:r>
    </w:p>
    <w:p w:rsidR="000F5692" w:rsidRDefault="000F5692" w:rsidP="0089401B">
      <w:pPr>
        <w:pStyle w:val="AERbodytext"/>
      </w:pPr>
      <w:r>
        <w:t>There was no other significant rebidding.</w:t>
      </w:r>
    </w:p>
    <w:p w:rsidR="00E96C5A" w:rsidRDefault="00E96C5A" w:rsidP="00E96C5A">
      <w:pPr>
        <w:pStyle w:val="Heading2"/>
      </w:pPr>
    </w:p>
    <w:p w:rsidR="00E96C5A" w:rsidRDefault="00E96C5A" w:rsidP="00E96C5A">
      <w:pPr>
        <w:pStyle w:val="Heading2"/>
      </w:pPr>
    </w:p>
    <w:p w:rsidR="00E96C5A" w:rsidRDefault="00E96C5A" w:rsidP="00E96C5A">
      <w:pPr>
        <w:pStyle w:val="Heading2"/>
      </w:pPr>
    </w:p>
    <w:p w:rsidR="00E96C5A" w:rsidRDefault="00E96C5A" w:rsidP="00E96C5A">
      <w:pPr>
        <w:pStyle w:val="Heading2"/>
      </w:pPr>
    </w:p>
    <w:p w:rsidR="00E96C5A" w:rsidRDefault="00E96C5A" w:rsidP="00E96C5A">
      <w:pPr>
        <w:pStyle w:val="Heading2"/>
      </w:pPr>
    </w:p>
    <w:p w:rsidR="00E96C5A" w:rsidRPr="005B12B7" w:rsidRDefault="00E96C5A" w:rsidP="0089401B"/>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Pr="0030575B" w:rsidRDefault="00E96C5A" w:rsidP="00E96C5A">
      <w:pPr>
        <w:pStyle w:val="Figureheading"/>
        <w:numPr>
          <w:ilvl w:val="0"/>
          <w:numId w:val="0"/>
        </w:numPr>
        <w:ind w:left="357" w:hanging="357"/>
      </w:pPr>
      <w:r w:rsidRPr="0030575B">
        <w:t>Figure 8: Quarterly base future prices Q3 2013 – Q2 2017</w:t>
      </w:r>
    </w:p>
    <w:p w:rsidR="00E96C5A" w:rsidRPr="00D70101" w:rsidRDefault="00727837" w:rsidP="00E96C5A">
      <w:pPr>
        <w:pStyle w:val="AERbodytext"/>
        <w:rPr>
          <w:color w:val="FF0000"/>
        </w:rPr>
      </w:pPr>
      <w:r>
        <w:pict>
          <v:shape id="_x0000_i1034" type="#_x0000_t75" alt="Figure 8 shows for all mainland regions the prices for base contracts (and total traded quantities for the week) for each quarter for the next four financial years.     &#10;" style="width:451.45pt;height:224.85pt">
            <v:imagedata r:id="rId19" o:title=""/>
          </v:shape>
        </w:pict>
      </w:r>
    </w:p>
    <w:p w:rsidR="00E96C5A" w:rsidRPr="008245F0" w:rsidRDefault="00E96C5A" w:rsidP="00E96C5A">
      <w:pPr>
        <w:pStyle w:val="Sourceandnotes"/>
      </w:pPr>
      <w:r w:rsidRPr="008245F0">
        <w:t xml:space="preserve">Source: </w:t>
      </w:r>
      <w:hyperlink r:id="rId20" w:history="1">
        <w:r w:rsidRPr="00D87E09">
          <w:rPr>
            <w:rStyle w:val="Hyperlink"/>
          </w:rPr>
          <w:t>ASXEnergy.com.au</w:t>
        </w:r>
      </w:hyperlink>
    </w:p>
    <w:p w:rsidR="00E96C5A"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t xml:space="preserve"> </w:t>
      </w:r>
    </w:p>
    <w:p w:rsidR="00E96C5A" w:rsidRPr="003C700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D70101" w:rsidRDefault="00727837" w:rsidP="00E96C5A">
      <w:pPr>
        <w:pStyle w:val="AERbodytext"/>
        <w:spacing w:after="120"/>
        <w:rPr>
          <w:color w:val="FF0000"/>
        </w:rPr>
      </w:pPr>
      <w:r>
        <w:pict>
          <v:shape id="_x0000_i1035"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0.55pt;height:224.85pt">
            <v:imagedata r:id="rId21"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E96C5A">
      <w:pPr>
        <w:pStyle w:val="Sourceandnotes"/>
      </w:pPr>
      <w:r w:rsidRPr="005543BA">
        <w:t xml:space="preserve">Source: </w:t>
      </w:r>
      <w:hyperlink r:id="rId22"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3" w:history="1">
        <w:r w:rsidRPr="00EA160C">
          <w:rPr>
            <w:rStyle w:val="Hyperlink"/>
          </w:rPr>
          <w:t>Performance of the Energy Sector</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contracts limit exposure to extreme spot prices (above $300/MWh) and is an indicator of the cost of risk management. </w:t>
      </w:r>
    </w:p>
    <w:p w:rsidR="00E96C5A" w:rsidRPr="003C700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727837" w:rsidP="00E96C5A">
      <w:pPr>
        <w:pStyle w:val="AERbodytext"/>
      </w:pPr>
      <w:r>
        <w:pict>
          <v:shape id="_x0000_i1036" type="#_x0000_t75" alt="Figure 10 shows how the price for each regional Quarter 1 2014 cap contract has changed over the last 10 weeks (as well as the total number of trades each week). The closing quarter 1 2012 and quarter 1 2013 prices are also shown.        &#10;" style="width:451.45pt;height:224.85pt;mso-left-percent:-10001;mso-top-percent:-10001;mso-position-horizontal:absolute;mso-position-horizontal-relative:char;mso-position-vertical:absolute;mso-position-vertical-relative:line;mso-left-percent:-10001;mso-top-percent:-10001">
            <v:imagedata r:id="rId24" o:title=""/>
          </v:shape>
        </w:pict>
      </w:r>
    </w:p>
    <w:p w:rsidR="00E96C5A" w:rsidRPr="00130EA0" w:rsidRDefault="00E96C5A" w:rsidP="00E96C5A">
      <w:pPr>
        <w:pStyle w:val="Sourceandnotes"/>
      </w:pPr>
      <w:r w:rsidRPr="005543BA">
        <w:t>Source</w:t>
      </w:r>
      <w:r>
        <w:t xml:space="preserve">: </w:t>
      </w:r>
      <w:hyperlink r:id="rId25" w:history="1">
        <w:r w:rsidRPr="00D87E09">
          <w:rPr>
            <w:rStyle w:val="Hyperlink"/>
          </w:rPr>
          <w:t>ASXEnergy.com.au</w:t>
        </w:r>
      </w:hyperlink>
    </w:p>
    <w:p w:rsidR="00E96C5A" w:rsidRDefault="00E96C5A" w:rsidP="00E96C5A">
      <w:pPr>
        <w:pStyle w:val="AERbodytext"/>
        <w:keepNext/>
        <w:spacing w:after="120" w:line="240" w:lineRule="auto"/>
        <w:jc w:val="left"/>
        <w:rPr>
          <w:b/>
        </w:rPr>
      </w:pPr>
      <w:r w:rsidRPr="00181657">
        <w:rPr>
          <w:b/>
        </w:rPr>
        <w:t>Australian Energy Regulator</w:t>
      </w:r>
    </w:p>
    <w:p w:rsidR="00E96C5A" w:rsidRDefault="00E96C5A" w:rsidP="00E96C5A">
      <w:pPr>
        <w:rPr>
          <w:b/>
        </w:rPr>
      </w:pPr>
      <w:r>
        <w:rPr>
          <w:b/>
        </w:rPr>
        <w:t>August</w:t>
      </w:r>
      <w:r w:rsidRPr="005F739F">
        <w:rPr>
          <w:b/>
        </w:rPr>
        <w:t xml:space="preserve"> 201</w:t>
      </w:r>
      <w:r>
        <w:rPr>
          <w:b/>
        </w:rPr>
        <w:t>3</w:t>
      </w:r>
    </w:p>
    <w:p w:rsidR="00E96C5A" w:rsidRDefault="00E96C5A" w:rsidP="00E96C5A">
      <w:pPr>
        <w:pStyle w:val="AERbodytext"/>
        <w:rPr>
          <w:lang w:eastAsia="en-AU"/>
        </w:rPr>
      </w:pPr>
    </w:p>
    <w:p w:rsidR="000F5692" w:rsidRPr="000F5692" w:rsidRDefault="000F5692" w:rsidP="0089401B">
      <w:pPr>
        <w:pStyle w:val="AERbodytext"/>
      </w:pPr>
    </w:p>
    <w:sectPr w:rsidR="000F5692" w:rsidRPr="000F5692" w:rsidSect="005F0478">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EB6" w:rsidRDefault="00AF3EB6" w:rsidP="00BB640B">
      <w:r>
        <w:separator/>
      </w:r>
    </w:p>
    <w:p w:rsidR="00AF3EB6" w:rsidRDefault="00AF3EB6"/>
    <w:p w:rsidR="00AF3EB6" w:rsidRDefault="00AF3EB6"/>
  </w:endnote>
  <w:endnote w:type="continuationSeparator" w:id="0">
    <w:p w:rsidR="00AF3EB6" w:rsidRDefault="00AF3EB6" w:rsidP="00BB640B">
      <w:r>
        <w:continuationSeparator/>
      </w:r>
    </w:p>
    <w:p w:rsidR="00AF3EB6" w:rsidRDefault="00AF3EB6"/>
    <w:p w:rsidR="00AF3EB6" w:rsidRDefault="00AF3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37" w:rsidRDefault="00727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B6" w:rsidRPr="00474107" w:rsidRDefault="00AF3EB6"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727837">
      <w:rPr>
        <w:rStyle w:val="PageNumber"/>
        <w:noProof/>
      </w:rPr>
      <w:t>2</w:t>
    </w:r>
    <w:r>
      <w:rPr>
        <w:rStyle w:val="PageNumber"/>
      </w:rPr>
      <w:fldChar w:fldCharType="end"/>
    </w:r>
  </w:p>
  <w:p w:rsidR="00AF3EB6" w:rsidRPr="0097256D" w:rsidRDefault="00AF3EB6" w:rsidP="00BB5A9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EB6" w:rsidRPr="00643F62" w:rsidRDefault="00AF3EB6"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432052">
      <w:rPr>
        <w:i/>
      </w:rPr>
      <w:t>D13/111560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EB6" w:rsidRDefault="00AF3EB6" w:rsidP="00BB640B">
      <w:r>
        <w:separator/>
      </w:r>
    </w:p>
    <w:p w:rsidR="00AF3EB6" w:rsidRPr="00DB6729" w:rsidRDefault="00AF3EB6">
      <w:pPr>
        <w:rPr>
          <w:b/>
          <w:sz w:val="2"/>
        </w:rPr>
      </w:pPr>
    </w:p>
  </w:footnote>
  <w:footnote w:type="continuationSeparator" w:id="0">
    <w:p w:rsidR="00AF3EB6" w:rsidRDefault="00AF3EB6" w:rsidP="00BB640B">
      <w:r>
        <w:continuationSeparator/>
      </w:r>
    </w:p>
    <w:p w:rsidR="00AF3EB6" w:rsidRDefault="00AF3E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37" w:rsidRDefault="00727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37" w:rsidRDefault="00727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37" w:rsidRDefault="00727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3">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7">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8">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7"/>
  </w:num>
  <w:num w:numId="3">
    <w:abstractNumId w:val="3"/>
  </w:num>
  <w:num w:numId="4">
    <w:abstractNumId w:val="12"/>
  </w:num>
  <w:num w:numId="5">
    <w:abstractNumId w:val="9"/>
  </w:num>
  <w:num w:numId="6">
    <w:abstractNumId w:val="18"/>
  </w:num>
  <w:num w:numId="7">
    <w:abstractNumId w:val="21"/>
  </w:num>
  <w:num w:numId="8">
    <w:abstractNumId w:val="23"/>
  </w:num>
  <w:num w:numId="9">
    <w:abstractNumId w:val="5"/>
  </w:num>
  <w:num w:numId="10">
    <w:abstractNumId w:val="8"/>
  </w:num>
  <w:num w:numId="11">
    <w:abstractNumId w:val="6"/>
  </w:num>
  <w:num w:numId="12">
    <w:abstractNumId w:val="14"/>
  </w:num>
  <w:num w:numId="13">
    <w:abstractNumId w:val="10"/>
  </w:num>
  <w:num w:numId="14">
    <w:abstractNumId w:val="11"/>
  </w:num>
  <w:num w:numId="15">
    <w:abstractNumId w:val="22"/>
  </w:num>
  <w:num w:numId="16">
    <w:abstractNumId w:val="13"/>
  </w:num>
  <w:num w:numId="17">
    <w:abstractNumId w:val="20"/>
  </w:num>
  <w:num w:numId="18">
    <w:abstractNumId w:val="16"/>
  </w:num>
  <w:num w:numId="19">
    <w:abstractNumId w:val="1"/>
  </w:num>
  <w:num w:numId="20">
    <w:abstractNumId w:val="10"/>
  </w:num>
  <w:num w:numId="21">
    <w:abstractNumId w:val="10"/>
  </w:num>
  <w:num w:numId="22">
    <w:abstractNumId w:val="10"/>
  </w:num>
  <w:num w:numId="23">
    <w:abstractNumId w:val="2"/>
  </w:num>
  <w:num w:numId="24">
    <w:abstractNumId w:val="21"/>
  </w:num>
  <w:num w:numId="25">
    <w:abstractNumId w:val="21"/>
  </w:num>
  <w:num w:numId="26">
    <w:abstractNumId w:val="21"/>
  </w:num>
  <w:num w:numId="27">
    <w:abstractNumId w:val="21"/>
  </w:num>
  <w:num w:numId="28">
    <w:abstractNumId w:val="0"/>
  </w:num>
  <w:num w:numId="29">
    <w:abstractNumId w:val="15"/>
  </w:num>
  <w:num w:numId="30">
    <w:abstractNumId w:val="21"/>
  </w:num>
  <w:num w:numId="31">
    <w:abstractNumId w:val="21"/>
  </w:num>
  <w:num w:numId="32">
    <w:abstractNumId w:val="21"/>
  </w:num>
  <w:num w:numId="33">
    <w:abstractNumId w:val="21"/>
  </w:num>
  <w:num w:numId="34">
    <w:abstractNumId w:val="21"/>
  </w:num>
  <w:num w:numId="35">
    <w:abstractNumId w:val="10"/>
  </w:num>
  <w:num w:numId="36">
    <w:abstractNumId w:val="21"/>
  </w:num>
  <w:num w:numId="37">
    <w:abstractNumId w:val="10"/>
  </w:num>
  <w:num w:numId="38">
    <w:abstractNumId w:val="7"/>
  </w:num>
  <w:num w:numId="39">
    <w:abstractNumId w:val="21"/>
  </w:num>
  <w:num w:numId="40">
    <w:abstractNumId w:val="21"/>
  </w:num>
  <w:num w:numId="41">
    <w:abstractNumId w:val="19"/>
  </w:num>
  <w:num w:numId="42">
    <w:abstractNumId w:val="6"/>
  </w:num>
  <w:num w:numId="4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802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4392\D13 109580  20130728 - 20130803 electricity weekly - accessible format.DOCX"/>
  </w:docVars>
  <w:rsids>
    <w:rsidRoot w:val="00F75FBD"/>
    <w:rsid w:val="00000080"/>
    <w:rsid w:val="000008B3"/>
    <w:rsid w:val="00000E09"/>
    <w:rsid w:val="000014D2"/>
    <w:rsid w:val="000018CD"/>
    <w:rsid w:val="0000194E"/>
    <w:rsid w:val="000020FB"/>
    <w:rsid w:val="00002445"/>
    <w:rsid w:val="0000263B"/>
    <w:rsid w:val="00002829"/>
    <w:rsid w:val="00002A76"/>
    <w:rsid w:val="00003522"/>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92"/>
    <w:rsid w:val="00046C2F"/>
    <w:rsid w:val="000474B8"/>
    <w:rsid w:val="00047ACD"/>
    <w:rsid w:val="00047CAE"/>
    <w:rsid w:val="00050394"/>
    <w:rsid w:val="00050A33"/>
    <w:rsid w:val="00050C6C"/>
    <w:rsid w:val="00050D72"/>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9AD"/>
    <w:rsid w:val="00062A21"/>
    <w:rsid w:val="00062B23"/>
    <w:rsid w:val="00062B49"/>
    <w:rsid w:val="00062B82"/>
    <w:rsid w:val="0006305A"/>
    <w:rsid w:val="0006356C"/>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820"/>
    <w:rsid w:val="000E1B63"/>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2FA3"/>
    <w:rsid w:val="00112FAD"/>
    <w:rsid w:val="001131A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C1"/>
    <w:rsid w:val="00170C56"/>
    <w:rsid w:val="00170CA6"/>
    <w:rsid w:val="00170CDF"/>
    <w:rsid w:val="00170D58"/>
    <w:rsid w:val="00171759"/>
    <w:rsid w:val="0017185E"/>
    <w:rsid w:val="001719F2"/>
    <w:rsid w:val="00171AA3"/>
    <w:rsid w:val="00171AA4"/>
    <w:rsid w:val="00171E3B"/>
    <w:rsid w:val="00171E6C"/>
    <w:rsid w:val="00172054"/>
    <w:rsid w:val="001720C0"/>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CED"/>
    <w:rsid w:val="00192DCD"/>
    <w:rsid w:val="00192E4B"/>
    <w:rsid w:val="00192FC5"/>
    <w:rsid w:val="00193254"/>
    <w:rsid w:val="001932D9"/>
    <w:rsid w:val="00193504"/>
    <w:rsid w:val="001936A2"/>
    <w:rsid w:val="00193A59"/>
    <w:rsid w:val="00193ABA"/>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9E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67"/>
    <w:rsid w:val="001C2570"/>
    <w:rsid w:val="001C2729"/>
    <w:rsid w:val="001C2BEF"/>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D01A9"/>
    <w:rsid w:val="001D0336"/>
    <w:rsid w:val="001D044C"/>
    <w:rsid w:val="001D067E"/>
    <w:rsid w:val="001D0FDA"/>
    <w:rsid w:val="001D12BD"/>
    <w:rsid w:val="001D159B"/>
    <w:rsid w:val="001D1D07"/>
    <w:rsid w:val="001D1E64"/>
    <w:rsid w:val="001D1FC4"/>
    <w:rsid w:val="001D2239"/>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B67"/>
    <w:rsid w:val="00210A3D"/>
    <w:rsid w:val="00210FB5"/>
    <w:rsid w:val="002119A0"/>
    <w:rsid w:val="002121B9"/>
    <w:rsid w:val="00212261"/>
    <w:rsid w:val="0021246E"/>
    <w:rsid w:val="00212B63"/>
    <w:rsid w:val="00212D2F"/>
    <w:rsid w:val="00213289"/>
    <w:rsid w:val="002133F3"/>
    <w:rsid w:val="002137C5"/>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72"/>
    <w:rsid w:val="002E3127"/>
    <w:rsid w:val="002E3425"/>
    <w:rsid w:val="002E3565"/>
    <w:rsid w:val="002E37BD"/>
    <w:rsid w:val="002E3ABB"/>
    <w:rsid w:val="002E4263"/>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5129"/>
    <w:rsid w:val="003152E6"/>
    <w:rsid w:val="0031556B"/>
    <w:rsid w:val="00315635"/>
    <w:rsid w:val="003156E0"/>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C9"/>
    <w:rsid w:val="0035621E"/>
    <w:rsid w:val="00356758"/>
    <w:rsid w:val="0035692B"/>
    <w:rsid w:val="00357CFB"/>
    <w:rsid w:val="00357D7F"/>
    <w:rsid w:val="003600DB"/>
    <w:rsid w:val="00361798"/>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A12D3"/>
    <w:rsid w:val="003A182D"/>
    <w:rsid w:val="003A19B7"/>
    <w:rsid w:val="003A1E6B"/>
    <w:rsid w:val="003A2E14"/>
    <w:rsid w:val="003A309A"/>
    <w:rsid w:val="003A3778"/>
    <w:rsid w:val="003A407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441B"/>
    <w:rsid w:val="004246B9"/>
    <w:rsid w:val="00424896"/>
    <w:rsid w:val="0042492B"/>
    <w:rsid w:val="00424CFF"/>
    <w:rsid w:val="00425483"/>
    <w:rsid w:val="0042552A"/>
    <w:rsid w:val="00425852"/>
    <w:rsid w:val="0042613F"/>
    <w:rsid w:val="00426883"/>
    <w:rsid w:val="00426E99"/>
    <w:rsid w:val="00426F74"/>
    <w:rsid w:val="00427131"/>
    <w:rsid w:val="00427377"/>
    <w:rsid w:val="00427C0C"/>
    <w:rsid w:val="00427D21"/>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B02"/>
    <w:rsid w:val="00435CA8"/>
    <w:rsid w:val="0043614D"/>
    <w:rsid w:val="00436186"/>
    <w:rsid w:val="0043670D"/>
    <w:rsid w:val="004367F4"/>
    <w:rsid w:val="004368B6"/>
    <w:rsid w:val="00436946"/>
    <w:rsid w:val="00436983"/>
    <w:rsid w:val="00436D85"/>
    <w:rsid w:val="00436FFE"/>
    <w:rsid w:val="00437F80"/>
    <w:rsid w:val="00440625"/>
    <w:rsid w:val="00440E31"/>
    <w:rsid w:val="00441624"/>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B15"/>
    <w:rsid w:val="004B6380"/>
    <w:rsid w:val="004B642C"/>
    <w:rsid w:val="004B6834"/>
    <w:rsid w:val="004B6BD7"/>
    <w:rsid w:val="004B7C02"/>
    <w:rsid w:val="004B7F2A"/>
    <w:rsid w:val="004C0152"/>
    <w:rsid w:val="004C023A"/>
    <w:rsid w:val="004C0AB0"/>
    <w:rsid w:val="004C0C0B"/>
    <w:rsid w:val="004C0D89"/>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CED"/>
    <w:rsid w:val="004D1E28"/>
    <w:rsid w:val="004D1F6C"/>
    <w:rsid w:val="004D2502"/>
    <w:rsid w:val="004D2558"/>
    <w:rsid w:val="004D25CA"/>
    <w:rsid w:val="004D2886"/>
    <w:rsid w:val="004D2DAD"/>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5202"/>
    <w:rsid w:val="00535377"/>
    <w:rsid w:val="005357E8"/>
    <w:rsid w:val="00535A4B"/>
    <w:rsid w:val="00535AFE"/>
    <w:rsid w:val="00535D55"/>
    <w:rsid w:val="00535F57"/>
    <w:rsid w:val="0053647F"/>
    <w:rsid w:val="005364C2"/>
    <w:rsid w:val="00536559"/>
    <w:rsid w:val="0053717C"/>
    <w:rsid w:val="00537407"/>
    <w:rsid w:val="005379F3"/>
    <w:rsid w:val="00537A64"/>
    <w:rsid w:val="0054014D"/>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9FA"/>
    <w:rsid w:val="00556D17"/>
    <w:rsid w:val="005574C2"/>
    <w:rsid w:val="00557653"/>
    <w:rsid w:val="00557693"/>
    <w:rsid w:val="00557D2F"/>
    <w:rsid w:val="00557FB9"/>
    <w:rsid w:val="0056027E"/>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7075"/>
    <w:rsid w:val="006D78C5"/>
    <w:rsid w:val="006D7A4C"/>
    <w:rsid w:val="006E091D"/>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B0F"/>
    <w:rsid w:val="00705D05"/>
    <w:rsid w:val="00705D60"/>
    <w:rsid w:val="0070614F"/>
    <w:rsid w:val="007064AA"/>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9D1"/>
    <w:rsid w:val="00735A94"/>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4017"/>
    <w:rsid w:val="00744082"/>
    <w:rsid w:val="00744186"/>
    <w:rsid w:val="007445B8"/>
    <w:rsid w:val="00744C67"/>
    <w:rsid w:val="00745590"/>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E44"/>
    <w:rsid w:val="00755FF8"/>
    <w:rsid w:val="00756090"/>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EF"/>
    <w:rsid w:val="00925F5F"/>
    <w:rsid w:val="00926225"/>
    <w:rsid w:val="009266DC"/>
    <w:rsid w:val="00926929"/>
    <w:rsid w:val="00926B3D"/>
    <w:rsid w:val="00926F78"/>
    <w:rsid w:val="00927080"/>
    <w:rsid w:val="00927791"/>
    <w:rsid w:val="00927940"/>
    <w:rsid w:val="00927FC8"/>
    <w:rsid w:val="00930B8F"/>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2CD"/>
    <w:rsid w:val="009F139D"/>
    <w:rsid w:val="009F15EF"/>
    <w:rsid w:val="009F1C59"/>
    <w:rsid w:val="009F1D91"/>
    <w:rsid w:val="009F249C"/>
    <w:rsid w:val="009F2875"/>
    <w:rsid w:val="009F335A"/>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39D"/>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1677"/>
    <w:rsid w:val="00AD1757"/>
    <w:rsid w:val="00AD18DA"/>
    <w:rsid w:val="00AD18F6"/>
    <w:rsid w:val="00AD1AE6"/>
    <w:rsid w:val="00AD22DA"/>
    <w:rsid w:val="00AD22E2"/>
    <w:rsid w:val="00AD25A2"/>
    <w:rsid w:val="00AD35B9"/>
    <w:rsid w:val="00AD36BC"/>
    <w:rsid w:val="00AD3EC7"/>
    <w:rsid w:val="00AD4046"/>
    <w:rsid w:val="00AD456A"/>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C1D"/>
    <w:rsid w:val="00B020B7"/>
    <w:rsid w:val="00B02217"/>
    <w:rsid w:val="00B026FA"/>
    <w:rsid w:val="00B0273F"/>
    <w:rsid w:val="00B027E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5E8"/>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BB6"/>
    <w:rsid w:val="00B3512C"/>
    <w:rsid w:val="00B357CC"/>
    <w:rsid w:val="00B361AA"/>
    <w:rsid w:val="00B36262"/>
    <w:rsid w:val="00B362CE"/>
    <w:rsid w:val="00B3631C"/>
    <w:rsid w:val="00B36E23"/>
    <w:rsid w:val="00B36F6C"/>
    <w:rsid w:val="00B3705B"/>
    <w:rsid w:val="00B3727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701E4"/>
    <w:rsid w:val="00B70475"/>
    <w:rsid w:val="00B70479"/>
    <w:rsid w:val="00B70915"/>
    <w:rsid w:val="00B70C9F"/>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A27"/>
    <w:rsid w:val="00C52BE5"/>
    <w:rsid w:val="00C52DAD"/>
    <w:rsid w:val="00C5309F"/>
    <w:rsid w:val="00C538F2"/>
    <w:rsid w:val="00C53A6A"/>
    <w:rsid w:val="00C54140"/>
    <w:rsid w:val="00C54480"/>
    <w:rsid w:val="00C546C4"/>
    <w:rsid w:val="00C550A1"/>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6DA"/>
    <w:rsid w:val="00C669A1"/>
    <w:rsid w:val="00C675E0"/>
    <w:rsid w:val="00C6775E"/>
    <w:rsid w:val="00C677F8"/>
    <w:rsid w:val="00C67BAA"/>
    <w:rsid w:val="00C67D87"/>
    <w:rsid w:val="00C700FA"/>
    <w:rsid w:val="00C7046E"/>
    <w:rsid w:val="00C714A2"/>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951"/>
    <w:rsid w:val="00CA2A01"/>
    <w:rsid w:val="00CA2B93"/>
    <w:rsid w:val="00CA2D31"/>
    <w:rsid w:val="00CA34AF"/>
    <w:rsid w:val="00CA351F"/>
    <w:rsid w:val="00CA35C4"/>
    <w:rsid w:val="00CA3A62"/>
    <w:rsid w:val="00CA3D97"/>
    <w:rsid w:val="00CA3E74"/>
    <w:rsid w:val="00CA4066"/>
    <w:rsid w:val="00CA40E8"/>
    <w:rsid w:val="00CA4DD7"/>
    <w:rsid w:val="00CA4E01"/>
    <w:rsid w:val="00CA534D"/>
    <w:rsid w:val="00CA53CF"/>
    <w:rsid w:val="00CA5CDA"/>
    <w:rsid w:val="00CA5D86"/>
    <w:rsid w:val="00CA5F6C"/>
    <w:rsid w:val="00CA603C"/>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54D"/>
    <w:rsid w:val="00D51777"/>
    <w:rsid w:val="00D51812"/>
    <w:rsid w:val="00D52DBF"/>
    <w:rsid w:val="00D52EF1"/>
    <w:rsid w:val="00D53187"/>
    <w:rsid w:val="00D536FF"/>
    <w:rsid w:val="00D5379C"/>
    <w:rsid w:val="00D53B96"/>
    <w:rsid w:val="00D53F89"/>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12CC"/>
    <w:rsid w:val="00D713A3"/>
    <w:rsid w:val="00D717F9"/>
    <w:rsid w:val="00D71907"/>
    <w:rsid w:val="00D71C57"/>
    <w:rsid w:val="00D71CE0"/>
    <w:rsid w:val="00D71DBA"/>
    <w:rsid w:val="00D72053"/>
    <w:rsid w:val="00D720EC"/>
    <w:rsid w:val="00D7212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F94"/>
    <w:rsid w:val="00DB0103"/>
    <w:rsid w:val="00DB01D8"/>
    <w:rsid w:val="00DB06F6"/>
    <w:rsid w:val="00DB07CB"/>
    <w:rsid w:val="00DB0C6C"/>
    <w:rsid w:val="00DB0CAE"/>
    <w:rsid w:val="00DB0E40"/>
    <w:rsid w:val="00DB114C"/>
    <w:rsid w:val="00DB172E"/>
    <w:rsid w:val="00DB1A5E"/>
    <w:rsid w:val="00DB1E0F"/>
    <w:rsid w:val="00DB221C"/>
    <w:rsid w:val="00DB27F5"/>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70A0"/>
    <w:rsid w:val="00DC724B"/>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0ED3"/>
    <w:rsid w:val="00DE1508"/>
    <w:rsid w:val="00DE1574"/>
    <w:rsid w:val="00DE19AA"/>
    <w:rsid w:val="00DE1D83"/>
    <w:rsid w:val="00DE23F9"/>
    <w:rsid w:val="00DE2A1B"/>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A6F"/>
    <w:rsid w:val="00E926F7"/>
    <w:rsid w:val="00E9283B"/>
    <w:rsid w:val="00E92980"/>
    <w:rsid w:val="00E92A25"/>
    <w:rsid w:val="00E92C4C"/>
    <w:rsid w:val="00E92D97"/>
    <w:rsid w:val="00E92FC4"/>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411E"/>
    <w:rsid w:val="00EB4267"/>
    <w:rsid w:val="00EB4630"/>
    <w:rsid w:val="00EB463A"/>
    <w:rsid w:val="00EB4680"/>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B02"/>
    <w:rsid w:val="00FE0165"/>
    <w:rsid w:val="00FE043B"/>
    <w:rsid w:val="00FE07EE"/>
    <w:rsid w:val="00FE08C5"/>
    <w:rsid w:val="00FE0B4F"/>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4EA"/>
    <w:rsid w:val="00FE7B00"/>
    <w:rsid w:val="00FE7E2B"/>
    <w:rsid w:val="00FE7E3E"/>
    <w:rsid w:val="00FF0240"/>
    <w:rsid w:val="00FF0766"/>
    <w:rsid w:val="00FF0DAD"/>
    <w:rsid w:val="00FF17B4"/>
    <w:rsid w:val="00FF1C20"/>
    <w:rsid w:val="00FF22FB"/>
    <w:rsid w:val="00FF23D5"/>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1.xml"/><Relationship Id="rId10" Type="http://schemas.openxmlformats.org/officeDocument/2006/relationships/hyperlink" Target="http://www.aer.gov.au/australian-energy-industry/performance-of-the-energy-sector" TargetMode="External"/><Relationship Id="rId19" Type="http://schemas.openxmlformats.org/officeDocument/2006/relationships/image" Target="media/image10.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2013-08-13T08:27:00Z</dcterms:created>
  <dcterms:modified xsi:type="dcterms:W3CDTF">2013-08-13T08:27:00Z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8033647</vt:lpwstr>
  </property>
</Properties>
</file>