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8E121A"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8E121A" w:rsidRDefault="008E121A">
                  <w:pPr>
                    <w:pStyle w:val="Title"/>
                    <w:jc w:val="left"/>
                  </w:pPr>
                  <w:r w:rsidRPr="00F50D3A">
                    <w:t>Electricity</w:t>
                  </w:r>
                  <w:r>
                    <w:t xml:space="preserve"> Report</w:t>
                  </w:r>
                </w:p>
                <w:p w:rsidR="008E121A" w:rsidRDefault="008E121A">
                  <w:pPr>
                    <w:pStyle w:val="Title"/>
                    <w:jc w:val="left"/>
                    <w:rPr>
                      <w:i/>
                    </w:rPr>
                  </w:pPr>
                  <w:r>
                    <w:t>14 to 20 July 2013</w:t>
                  </w:r>
                  <w:r w:rsidRPr="00F50D3A">
                    <w:t xml:space="preserve"> </w:t>
                  </w:r>
                </w:p>
                <w:p w:rsidR="008E121A" w:rsidRDefault="008E121A">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8.5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P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5D3AE3" w:rsidRPr="00C77DE6" w:rsidRDefault="00497F10" w:rsidP="00E74564">
      <w:pPr>
        <w:pStyle w:val="Heading2"/>
        <w:rPr>
          <w:color w:val="auto"/>
        </w:rPr>
      </w:pPr>
      <w:r w:rsidRPr="00C77DE6">
        <w:rPr>
          <w:color w:val="auto"/>
        </w:rPr>
        <w:t xml:space="preserve">Weekly </w:t>
      </w:r>
      <w:r w:rsidR="00237FD8" w:rsidRPr="00C77DE6">
        <w:rPr>
          <w:color w:val="auto"/>
        </w:rPr>
        <w:t>s</w:t>
      </w:r>
      <w:r w:rsidRPr="00C77DE6">
        <w:rPr>
          <w:color w:val="auto"/>
        </w:rPr>
        <w:t>potlight</w:t>
      </w:r>
    </w:p>
    <w:p w:rsidR="00D7260E" w:rsidRDefault="00D7260E" w:rsidP="00D7260E">
      <w:pPr>
        <w:pStyle w:val="AERbodytext"/>
      </w:pPr>
      <w:r>
        <w:t xml:space="preserve">On 1 July 2012 the Australian Government introduced a carbon price as part of its Clean Energy Future Plan. Initially the carbon price was initially set at $23 per tonne of carbon dioxide equivalent emissions for the first year of the scheme, with increases in line with the CPI for the second and third years, with a floating price to be set under an Emissions Trading Scheme (ETS) from 1 July 2015. However, on 15 July this year, the Australian Government announced that it would fast track the introduction of a floating carbon price to 1 July 2014. </w:t>
      </w:r>
    </w:p>
    <w:p w:rsidR="00D7260E" w:rsidRDefault="00D7260E" w:rsidP="00D7260E">
      <w:pPr>
        <w:pStyle w:val="AERbodytext"/>
      </w:pPr>
      <w:r>
        <w:t>Prior to this, in August 2012, the Australian Government had announced the floor price originally scheduled to apply during the first three years of the ETS would be removed and instead would be linked to the European Union’s ETS. The international carbon price is currently estimated to be $6/tonne compared to Australia’s 2013/14 fixed carbon price of $24.15/tonne.</w:t>
      </w:r>
    </w:p>
    <w:p w:rsidR="00D7260E" w:rsidRDefault="00D7260E" w:rsidP="00D7260E">
      <w:pPr>
        <w:pStyle w:val="AERbodytext"/>
      </w:pPr>
      <w:r>
        <w:t xml:space="preserve">Quarter 3 2014 is the first quarter affected by the change in policy to bring forward the move to a floating carbon price. The price of Q3 2014 base contracts reflects the market’s expectations of wholesale spot prices during that quarter. </w:t>
      </w:r>
      <w:bookmarkStart w:id="6" w:name="_GoBack"/>
      <w:bookmarkEnd w:id="6"/>
    </w:p>
    <w:p w:rsidR="004F0E2A" w:rsidRDefault="004F0E2A" w:rsidP="00D7260E">
      <w:pPr>
        <w:pStyle w:val="Figureheading"/>
        <w:numPr>
          <w:ilvl w:val="0"/>
          <w:numId w:val="0"/>
        </w:numPr>
        <w:spacing w:after="0"/>
        <w:ind w:left="357" w:hanging="357"/>
      </w:pPr>
      <w:r>
        <w:t>Spotlight figure: Q3 2014 Base contract prices</w:t>
      </w:r>
    </w:p>
    <w:p w:rsidR="004F0E2A" w:rsidRDefault="008E121A" w:rsidP="00D7260E">
      <w:pPr>
        <w:pStyle w:val="AERbodytext"/>
      </w:pPr>
      <w:r>
        <w:rPr>
          <w:noProof/>
        </w:rPr>
        <w:pict>
          <v:shape id="Text Box 2" o:spid="_x0000_s1042" type="#_x0000_t202" style="position:absolute;left:0;text-align:left;margin-left:343pt;margin-top:17.25pt;width:100pt;height:18.2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fill opacity="0"/>
            <v:textbox style="mso-fit-shape-to-text:t">
              <w:txbxContent>
                <w:p w:rsidR="008E121A" w:rsidRPr="00D7260E" w:rsidRDefault="008E121A">
                  <w:pPr>
                    <w:rPr>
                      <w:color w:val="403152" w:themeColor="accent4" w:themeShade="80"/>
                      <w:sz w:val="16"/>
                      <w:szCs w:val="16"/>
                    </w:rPr>
                  </w:pPr>
                  <w:r w:rsidRPr="00D7260E">
                    <w:rPr>
                      <w:color w:val="403152" w:themeColor="accent4" w:themeShade="80"/>
                      <w:sz w:val="16"/>
                      <w:szCs w:val="16"/>
                    </w:rPr>
                    <w:t>ETS announcement</w:t>
                  </w:r>
                </w:p>
              </w:txbxContent>
            </v:textbox>
          </v:shape>
        </w:pict>
      </w:r>
      <w:r>
        <w:rPr>
          <w:noProof/>
          <w:lang w:eastAsia="en-AU"/>
        </w:rPr>
        <w:pict>
          <v:shapetype id="_x0000_t32" coordsize="21600,21600" o:spt="32" o:oned="t" path="m,l21600,21600e" filled="f">
            <v:path arrowok="t" fillok="f" o:connecttype="none"/>
            <o:lock v:ext="edit" shapetype="t"/>
          </v:shapetype>
          <v:shape id="_x0000_s1041" type="#_x0000_t32" style="position:absolute;left:0;text-align:left;margin-left:431pt;margin-top:6.75pt;width:0;height:2in;flip:y;z-index:251660288" o:connectortype="straight" strokecolor="#622423">
            <v:stroke dashstyle="longDash"/>
          </v:shape>
        </w:pict>
      </w:r>
      <w:r w:rsidR="00EC7DA8" w:rsidRPr="00EC7DA8">
        <w:t xml:space="preserve"> </w:t>
      </w:r>
      <w:r w:rsidR="00EC7DA8" w:rsidRPr="00EC7DA8">
        <w:pict>
          <v:shape id="_x0000_i1038" type="#_x0000_t75" style="width:448pt;height:224pt">
            <v:imagedata r:id="rId10" o:title=""/>
          </v:shape>
        </w:pict>
      </w:r>
    </w:p>
    <w:p w:rsidR="00D7260E" w:rsidRPr="00D7260E" w:rsidRDefault="00D7260E" w:rsidP="00D7260E">
      <w:pPr>
        <w:pStyle w:val="AERbodytext"/>
      </w:pPr>
      <w:r w:rsidRPr="00D7260E">
        <w:lastRenderedPageBreak/>
        <w:t>The weekly spotlight figure shows that there had been a gradual decline in the price of Q3 2014 base contracts from the beginning of this year, falling by around $10/MWh to a low point of $45/MWh for Queensland and NSW by the end of May. The price had then started moving back up towards $55/MWh during June and July. Interestingly, (given the generation mix in the region) the Victorian Q3 2014 price has been tracking nearly $5/MWh lower than other regions since April. On the day (15 July) of the Australian Government’s announcement of the early transition to an ETS, the price of Q3 2014 base contracts dropped by $3-5/MWh across the regions, but has rebounded subsequently.</w:t>
      </w:r>
    </w:p>
    <w:p w:rsidR="00D7260E" w:rsidRPr="00D7260E" w:rsidRDefault="00D7260E" w:rsidP="00D7260E">
      <w:pPr>
        <w:pStyle w:val="AERbodytext"/>
      </w:pPr>
      <w:r w:rsidRPr="00D7260E">
        <w:t>The Q3 2014 prices as at 19 July ranged from $46.50/MWh for Victoria to $53.20/MWh in South Australia. This compares to Q3 2013 base contract price range of $57.20/MWh for New South Wales to $71/MWh for South Australia.</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Pr="007556DA"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F50D3A" w:rsidRPr="007556DA" w:rsidRDefault="00A7204C" w:rsidP="00F50D3A">
      <w:pPr>
        <w:pStyle w:val="AERbodytext"/>
      </w:pPr>
      <w:r>
        <w:pict>
          <v:shape id="_x0000_i1027" type="#_x0000_t75" alt="Figure 1 shows the volume weighted average (VWA) prices for this week (with prices shown in Table 1) and the preceding 12 weeks, as well as the VWA price over the previous 3 financial years." style="width:452pt;height:225.5pt">
            <v:imagedata r:id="rId11"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bottom w:val="single" w:sz="8" w:space="0" w:color="7BA0CD"/>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186747">
        <w:trPr>
          <w:trHeight w:hRule="exact" w:val="454"/>
        </w:trPr>
        <w:tc>
          <w:tcPr>
            <w:tcW w:w="1809" w:type="dxa"/>
            <w:tcBorders>
              <w:bottom w:val="nil"/>
            </w:tcBorders>
            <w:shd w:val="clear" w:color="auto" w:fill="4A442A"/>
            <w:noWrap/>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Region</w:t>
            </w:r>
          </w:p>
        </w:tc>
        <w:tc>
          <w:tcPr>
            <w:tcW w:w="1276" w:type="dxa"/>
            <w:tcBorders>
              <w:bottom w:val="nil"/>
            </w:tcBorders>
            <w:shd w:val="clear" w:color="auto" w:fill="4A442A"/>
            <w:noWrap/>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Qld</w:t>
            </w:r>
          </w:p>
        </w:tc>
        <w:tc>
          <w:tcPr>
            <w:tcW w:w="1275" w:type="dxa"/>
            <w:tcBorders>
              <w:bottom w:val="nil"/>
            </w:tcBorders>
            <w:shd w:val="clear" w:color="auto" w:fill="4A442A"/>
            <w:noWrap/>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NSW</w:t>
            </w:r>
          </w:p>
        </w:tc>
        <w:tc>
          <w:tcPr>
            <w:tcW w:w="1276" w:type="dxa"/>
            <w:tcBorders>
              <w:bottom w:val="nil"/>
            </w:tcBorders>
            <w:shd w:val="clear" w:color="auto" w:fill="4A442A"/>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Vic</w:t>
            </w:r>
          </w:p>
        </w:tc>
        <w:tc>
          <w:tcPr>
            <w:tcW w:w="1134" w:type="dxa"/>
            <w:tcBorders>
              <w:bottom w:val="nil"/>
            </w:tcBorders>
            <w:shd w:val="clear" w:color="auto" w:fill="4A442A"/>
            <w:noWrap/>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SA</w:t>
            </w:r>
          </w:p>
        </w:tc>
        <w:tc>
          <w:tcPr>
            <w:tcW w:w="1275" w:type="dxa"/>
            <w:tcBorders>
              <w:bottom w:val="nil"/>
            </w:tcBorders>
            <w:shd w:val="clear" w:color="auto" w:fill="4A442A"/>
            <w:vAlign w:val="center"/>
          </w:tcPr>
          <w:p w:rsidR="00D70101" w:rsidRPr="00186747" w:rsidRDefault="00D70101">
            <w:pPr>
              <w:jc w:val="center"/>
              <w:rPr>
                <w:rFonts w:cs="Gautami"/>
                <w:b/>
                <w:bCs/>
                <w:color w:val="FFFFFF"/>
                <w:sz w:val="16"/>
                <w:szCs w:val="16"/>
              </w:rPr>
            </w:pPr>
            <w:r w:rsidRPr="00186747">
              <w:rPr>
                <w:rFonts w:cs="Gautami"/>
                <w:b/>
                <w:bCs/>
                <w:color w:val="FFFFFF"/>
                <w:sz w:val="16"/>
                <w:szCs w:val="16"/>
              </w:rPr>
              <w:t>Tas</w:t>
            </w:r>
          </w:p>
        </w:tc>
      </w:tr>
      <w:tr w:rsidR="007556DA" w:rsidRPr="007556DA" w:rsidTr="00186747">
        <w:trPr>
          <w:trHeight w:hRule="exact" w:val="454"/>
        </w:trPr>
        <w:tc>
          <w:tcPr>
            <w:tcW w:w="1809" w:type="dxa"/>
            <w:tcBorders>
              <w:top w:val="nil"/>
              <w:bottom w:val="nil"/>
            </w:tcBorders>
            <w:shd w:val="clear" w:color="auto" w:fill="DDD9C3"/>
            <w:noWrap/>
            <w:vAlign w:val="center"/>
          </w:tcPr>
          <w:p w:rsidR="007556DA" w:rsidRPr="007556DA" w:rsidRDefault="007556DA">
            <w:pPr>
              <w:rPr>
                <w:rFonts w:cs="Gautami"/>
                <w:b/>
                <w:bCs/>
                <w:sz w:val="16"/>
                <w:szCs w:val="16"/>
              </w:rPr>
            </w:pPr>
            <w:r w:rsidRPr="007556DA">
              <w:rPr>
                <w:rFonts w:cs="Gautami"/>
                <w:b/>
                <w:bCs/>
                <w:sz w:val="16"/>
                <w:szCs w:val="16"/>
              </w:rPr>
              <w:t>Current week</w:t>
            </w:r>
          </w:p>
        </w:tc>
        <w:tc>
          <w:tcPr>
            <w:tcW w:w="1276" w:type="dxa"/>
            <w:tcBorders>
              <w:top w:val="nil"/>
              <w:bottom w:val="nil"/>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56</w:t>
            </w:r>
          </w:p>
        </w:tc>
        <w:tc>
          <w:tcPr>
            <w:tcW w:w="1275" w:type="dxa"/>
            <w:tcBorders>
              <w:top w:val="nil"/>
              <w:bottom w:val="nil"/>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54</w:t>
            </w:r>
          </w:p>
        </w:tc>
        <w:tc>
          <w:tcPr>
            <w:tcW w:w="1276" w:type="dxa"/>
            <w:tcBorders>
              <w:top w:val="nil"/>
              <w:bottom w:val="nil"/>
            </w:tcBorders>
            <w:shd w:val="clear" w:color="auto" w:fill="DDD9C3"/>
            <w:vAlign w:val="center"/>
          </w:tcPr>
          <w:p w:rsidR="007556DA" w:rsidRPr="007556DA" w:rsidRDefault="007556DA">
            <w:pPr>
              <w:jc w:val="center"/>
              <w:rPr>
                <w:rFonts w:cs="Gautami"/>
                <w:sz w:val="16"/>
                <w:szCs w:val="16"/>
              </w:rPr>
            </w:pPr>
            <w:r w:rsidRPr="007556DA">
              <w:rPr>
                <w:rFonts w:cs="Gautami"/>
                <w:sz w:val="16"/>
                <w:szCs w:val="16"/>
              </w:rPr>
              <w:t>55</w:t>
            </w:r>
          </w:p>
        </w:tc>
        <w:tc>
          <w:tcPr>
            <w:tcW w:w="1134" w:type="dxa"/>
            <w:tcBorders>
              <w:top w:val="nil"/>
              <w:bottom w:val="nil"/>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62</w:t>
            </w:r>
          </w:p>
        </w:tc>
        <w:tc>
          <w:tcPr>
            <w:tcW w:w="1275" w:type="dxa"/>
            <w:tcBorders>
              <w:top w:val="nil"/>
              <w:bottom w:val="nil"/>
            </w:tcBorders>
            <w:shd w:val="clear" w:color="auto" w:fill="DDD9C3"/>
            <w:vAlign w:val="center"/>
          </w:tcPr>
          <w:p w:rsidR="007556DA" w:rsidRPr="007556DA" w:rsidRDefault="007556DA">
            <w:pPr>
              <w:jc w:val="center"/>
              <w:rPr>
                <w:rFonts w:cs="Gautami"/>
                <w:sz w:val="16"/>
                <w:szCs w:val="16"/>
              </w:rPr>
            </w:pPr>
            <w:r w:rsidRPr="007556DA">
              <w:rPr>
                <w:rFonts w:cs="Gautami"/>
                <w:sz w:val="16"/>
                <w:szCs w:val="16"/>
              </w:rPr>
              <w:t>64</w:t>
            </w:r>
          </w:p>
        </w:tc>
      </w:tr>
      <w:tr w:rsidR="007556DA" w:rsidRPr="007556DA" w:rsidTr="00186747">
        <w:trPr>
          <w:trHeight w:hRule="exact" w:val="454"/>
        </w:trPr>
        <w:tc>
          <w:tcPr>
            <w:tcW w:w="1809" w:type="dxa"/>
            <w:tcBorders>
              <w:top w:val="nil"/>
              <w:bottom w:val="nil"/>
            </w:tcBorders>
            <w:shd w:val="clear" w:color="auto" w:fill="EEECE1"/>
            <w:noWrap/>
            <w:vAlign w:val="center"/>
          </w:tcPr>
          <w:p w:rsidR="007556DA" w:rsidRPr="007556DA" w:rsidRDefault="007556DA">
            <w:pPr>
              <w:rPr>
                <w:rFonts w:cs="Gautami"/>
                <w:b/>
                <w:bCs/>
                <w:sz w:val="16"/>
                <w:szCs w:val="16"/>
              </w:rPr>
            </w:pPr>
            <w:r w:rsidRPr="007556DA">
              <w:rPr>
                <w:rFonts w:cs="Gautami"/>
                <w:b/>
                <w:bCs/>
                <w:sz w:val="16"/>
                <w:szCs w:val="16"/>
              </w:rPr>
              <w:t>12-13 financial YTD</w:t>
            </w:r>
          </w:p>
        </w:tc>
        <w:tc>
          <w:tcPr>
            <w:tcW w:w="1276" w:type="dxa"/>
            <w:tcBorders>
              <w:top w:val="nil"/>
              <w:bottom w:val="nil"/>
            </w:tcBorders>
            <w:shd w:val="clear" w:color="auto" w:fill="EEECE1"/>
            <w:noWrap/>
            <w:vAlign w:val="center"/>
          </w:tcPr>
          <w:p w:rsidR="007556DA" w:rsidRPr="007556DA" w:rsidRDefault="007556DA">
            <w:pPr>
              <w:jc w:val="center"/>
              <w:rPr>
                <w:rFonts w:cs="Gautami"/>
                <w:sz w:val="16"/>
                <w:szCs w:val="16"/>
              </w:rPr>
            </w:pPr>
            <w:r w:rsidRPr="007556DA">
              <w:rPr>
                <w:rFonts w:cs="Gautami"/>
                <w:sz w:val="16"/>
                <w:szCs w:val="16"/>
              </w:rPr>
              <w:t>64</w:t>
            </w:r>
          </w:p>
        </w:tc>
        <w:tc>
          <w:tcPr>
            <w:tcW w:w="1275" w:type="dxa"/>
            <w:tcBorders>
              <w:top w:val="nil"/>
              <w:bottom w:val="nil"/>
            </w:tcBorders>
            <w:shd w:val="clear" w:color="auto" w:fill="EEECE1"/>
            <w:noWrap/>
            <w:vAlign w:val="center"/>
          </w:tcPr>
          <w:p w:rsidR="007556DA" w:rsidRPr="007556DA" w:rsidRDefault="007556DA">
            <w:pPr>
              <w:jc w:val="center"/>
              <w:rPr>
                <w:rFonts w:cs="Gautami"/>
                <w:sz w:val="16"/>
                <w:szCs w:val="16"/>
              </w:rPr>
            </w:pPr>
            <w:r w:rsidRPr="007556DA">
              <w:rPr>
                <w:rFonts w:cs="Gautami"/>
                <w:sz w:val="16"/>
                <w:szCs w:val="16"/>
              </w:rPr>
              <w:t>68</w:t>
            </w:r>
          </w:p>
        </w:tc>
        <w:tc>
          <w:tcPr>
            <w:tcW w:w="1276" w:type="dxa"/>
            <w:tcBorders>
              <w:top w:val="nil"/>
              <w:bottom w:val="nil"/>
            </w:tcBorders>
            <w:shd w:val="clear" w:color="auto" w:fill="EEECE1"/>
            <w:vAlign w:val="center"/>
          </w:tcPr>
          <w:p w:rsidR="007556DA" w:rsidRPr="007556DA" w:rsidRDefault="007556DA">
            <w:pPr>
              <w:jc w:val="center"/>
              <w:rPr>
                <w:rFonts w:cs="Gautami"/>
                <w:sz w:val="16"/>
                <w:szCs w:val="16"/>
              </w:rPr>
            </w:pPr>
            <w:r w:rsidRPr="007556DA">
              <w:rPr>
                <w:rFonts w:cs="Gautami"/>
                <w:sz w:val="16"/>
                <w:szCs w:val="16"/>
              </w:rPr>
              <w:t>81</w:t>
            </w:r>
          </w:p>
        </w:tc>
        <w:tc>
          <w:tcPr>
            <w:tcW w:w="1134" w:type="dxa"/>
            <w:tcBorders>
              <w:top w:val="nil"/>
              <w:bottom w:val="nil"/>
            </w:tcBorders>
            <w:shd w:val="clear" w:color="auto" w:fill="EEECE1"/>
            <w:noWrap/>
            <w:vAlign w:val="center"/>
          </w:tcPr>
          <w:p w:rsidR="007556DA" w:rsidRPr="007556DA" w:rsidRDefault="007556DA">
            <w:pPr>
              <w:jc w:val="center"/>
              <w:rPr>
                <w:rFonts w:cs="Gautami"/>
                <w:sz w:val="16"/>
                <w:szCs w:val="16"/>
              </w:rPr>
            </w:pPr>
            <w:r w:rsidRPr="007556DA">
              <w:rPr>
                <w:rFonts w:cs="Gautami"/>
                <w:sz w:val="16"/>
                <w:szCs w:val="16"/>
              </w:rPr>
              <w:t>87</w:t>
            </w:r>
          </w:p>
        </w:tc>
        <w:tc>
          <w:tcPr>
            <w:tcW w:w="1275" w:type="dxa"/>
            <w:tcBorders>
              <w:top w:val="nil"/>
              <w:bottom w:val="nil"/>
            </w:tcBorders>
            <w:shd w:val="clear" w:color="auto" w:fill="EEECE1"/>
            <w:vAlign w:val="center"/>
          </w:tcPr>
          <w:p w:rsidR="007556DA" w:rsidRPr="007556DA" w:rsidRDefault="007556DA">
            <w:pPr>
              <w:jc w:val="center"/>
              <w:rPr>
                <w:rFonts w:cs="Gautami"/>
                <w:sz w:val="16"/>
                <w:szCs w:val="16"/>
              </w:rPr>
            </w:pPr>
            <w:r w:rsidRPr="007556DA">
              <w:rPr>
                <w:rFonts w:cs="Gautami"/>
                <w:sz w:val="16"/>
                <w:szCs w:val="16"/>
              </w:rPr>
              <w:t>62</w:t>
            </w:r>
          </w:p>
        </w:tc>
      </w:tr>
      <w:tr w:rsidR="007556DA" w:rsidRPr="007556DA" w:rsidTr="00186747">
        <w:trPr>
          <w:trHeight w:hRule="exact" w:val="454"/>
        </w:trPr>
        <w:tc>
          <w:tcPr>
            <w:tcW w:w="1809" w:type="dxa"/>
            <w:tcBorders>
              <w:top w:val="nil"/>
              <w:bottom w:val="single" w:sz="4" w:space="0" w:color="auto"/>
            </w:tcBorders>
            <w:shd w:val="clear" w:color="auto" w:fill="DDD9C3"/>
            <w:noWrap/>
            <w:vAlign w:val="center"/>
          </w:tcPr>
          <w:p w:rsidR="007556DA" w:rsidRPr="007556DA" w:rsidRDefault="007556DA">
            <w:pPr>
              <w:rPr>
                <w:rFonts w:cs="Gautami"/>
                <w:b/>
                <w:bCs/>
                <w:sz w:val="16"/>
                <w:szCs w:val="16"/>
              </w:rPr>
            </w:pPr>
            <w:r w:rsidRPr="007556DA">
              <w:rPr>
                <w:rFonts w:cs="Gautami"/>
                <w:b/>
                <w:bCs/>
                <w:sz w:val="16"/>
                <w:szCs w:val="16"/>
              </w:rPr>
              <w:t>13-14 financial YTD</w:t>
            </w:r>
          </w:p>
        </w:tc>
        <w:tc>
          <w:tcPr>
            <w:tcW w:w="1276" w:type="dxa"/>
            <w:tcBorders>
              <w:top w:val="nil"/>
              <w:bottom w:val="single" w:sz="4" w:space="0" w:color="auto"/>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59</w:t>
            </w:r>
          </w:p>
        </w:tc>
        <w:tc>
          <w:tcPr>
            <w:tcW w:w="1275" w:type="dxa"/>
            <w:tcBorders>
              <w:top w:val="nil"/>
              <w:bottom w:val="single" w:sz="4" w:space="0" w:color="auto"/>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58</w:t>
            </w:r>
          </w:p>
        </w:tc>
        <w:tc>
          <w:tcPr>
            <w:tcW w:w="1276" w:type="dxa"/>
            <w:tcBorders>
              <w:top w:val="nil"/>
              <w:bottom w:val="single" w:sz="4" w:space="0" w:color="auto"/>
            </w:tcBorders>
            <w:shd w:val="clear" w:color="auto" w:fill="DDD9C3"/>
            <w:vAlign w:val="center"/>
          </w:tcPr>
          <w:p w:rsidR="007556DA" w:rsidRPr="007556DA" w:rsidRDefault="007556DA">
            <w:pPr>
              <w:jc w:val="center"/>
              <w:rPr>
                <w:rFonts w:cs="Gautami"/>
                <w:sz w:val="16"/>
                <w:szCs w:val="16"/>
              </w:rPr>
            </w:pPr>
            <w:r w:rsidRPr="007556DA">
              <w:rPr>
                <w:rFonts w:cs="Gautami"/>
                <w:sz w:val="16"/>
                <w:szCs w:val="16"/>
              </w:rPr>
              <w:t>59</w:t>
            </w:r>
          </w:p>
        </w:tc>
        <w:tc>
          <w:tcPr>
            <w:tcW w:w="1134" w:type="dxa"/>
            <w:tcBorders>
              <w:top w:val="nil"/>
              <w:bottom w:val="single" w:sz="4" w:space="0" w:color="auto"/>
            </w:tcBorders>
            <w:shd w:val="clear" w:color="auto" w:fill="DDD9C3"/>
            <w:noWrap/>
            <w:vAlign w:val="center"/>
          </w:tcPr>
          <w:p w:rsidR="007556DA" w:rsidRPr="007556DA" w:rsidRDefault="007556DA">
            <w:pPr>
              <w:jc w:val="center"/>
              <w:rPr>
                <w:rFonts w:cs="Gautami"/>
                <w:sz w:val="16"/>
                <w:szCs w:val="16"/>
              </w:rPr>
            </w:pPr>
            <w:r w:rsidRPr="007556DA">
              <w:rPr>
                <w:rFonts w:cs="Gautami"/>
                <w:sz w:val="16"/>
                <w:szCs w:val="16"/>
              </w:rPr>
              <w:t>70</w:t>
            </w:r>
          </w:p>
        </w:tc>
        <w:tc>
          <w:tcPr>
            <w:tcW w:w="1275" w:type="dxa"/>
            <w:tcBorders>
              <w:top w:val="nil"/>
              <w:bottom w:val="single" w:sz="4" w:space="0" w:color="auto"/>
            </w:tcBorders>
            <w:shd w:val="clear" w:color="auto" w:fill="DDD9C3"/>
            <w:vAlign w:val="center"/>
          </w:tcPr>
          <w:p w:rsidR="007556DA" w:rsidRPr="007556DA" w:rsidRDefault="007556DA">
            <w:pPr>
              <w:jc w:val="center"/>
              <w:rPr>
                <w:rFonts w:cs="Gautami"/>
                <w:sz w:val="16"/>
                <w:szCs w:val="16"/>
              </w:rPr>
            </w:pPr>
            <w:r w:rsidRPr="007556DA">
              <w:rPr>
                <w:rFonts w:cs="Gautami"/>
                <w:sz w:val="16"/>
                <w:szCs w:val="16"/>
              </w:rPr>
              <w:t>53</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2"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0E6CF1" w:rsidP="00977DC4">
      <w:pPr>
        <w:pStyle w:val="AERbodytext"/>
      </w:pPr>
      <w:r w:rsidRPr="00D70101">
        <w:t xml:space="preserve">There </w:t>
      </w:r>
      <w:r w:rsidRPr="007556DA">
        <w:t xml:space="preserve">were </w:t>
      </w:r>
      <w:r w:rsidR="007556DA" w:rsidRPr="007556DA">
        <w:t>41</w:t>
      </w:r>
      <w:r w:rsidRPr="007556DA">
        <w:t xml:space="preserve"> </w:t>
      </w:r>
      <w:r w:rsidR="00B032DD" w:rsidRPr="007556DA">
        <w:t>(</w:t>
      </w:r>
      <w:r w:rsidR="00B032DD">
        <w:t xml:space="preserve">30-minute) </w:t>
      </w:r>
      <w:r w:rsidRPr="00D70101">
        <w:t xml:space="preserve">trading intervals throughout the week where actual prices varied significantly from forecasts. </w:t>
      </w:r>
      <w:r w:rsidR="009559D6" w:rsidRPr="00D70101">
        <w:t xml:space="preserve">This compares to the weekly average in </w:t>
      </w:r>
      <w:r w:rsidR="00315A5F" w:rsidRPr="00D70101">
        <w:t>201</w:t>
      </w:r>
      <w:r w:rsidR="00D70101" w:rsidRPr="00D70101">
        <w:t>2</w:t>
      </w:r>
      <w:r w:rsidR="00315A5F" w:rsidRPr="00D70101">
        <w:t xml:space="preserve"> </w:t>
      </w:r>
      <w:r w:rsidR="009559D6" w:rsidRPr="00D70101">
        <w:t xml:space="preserve">of </w:t>
      </w:r>
      <w:r w:rsidR="00D70101" w:rsidRPr="00D70101">
        <w:t>60</w:t>
      </w:r>
      <w:r w:rsidR="00315A5F" w:rsidRPr="00D70101">
        <w:t xml:space="preserve"> </w:t>
      </w:r>
      <w:r w:rsidR="009559D6" w:rsidRPr="00D70101">
        <w:t xml:space="preserve">counts and the average in </w:t>
      </w:r>
      <w:r w:rsidR="00315A5F" w:rsidRPr="00D70101">
        <w:t>201</w:t>
      </w:r>
      <w:r w:rsidR="00D70101" w:rsidRPr="00D70101">
        <w:t>1</w:t>
      </w:r>
      <w:r w:rsidR="00315A5F" w:rsidRPr="00D70101">
        <w:t xml:space="preserve"> </w:t>
      </w:r>
      <w:r w:rsidR="009559D6" w:rsidRPr="00D70101">
        <w:t xml:space="preserve">of </w:t>
      </w:r>
      <w:r w:rsidR="00D70101" w:rsidRPr="00D70101">
        <w:t>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417"/>
      </w:tblGrid>
      <w:tr w:rsidR="00155A20" w:rsidRPr="00155A20" w:rsidTr="00D7260E">
        <w:trPr>
          <w:trHeight w:hRule="exact" w:val="454"/>
        </w:trPr>
        <w:tc>
          <w:tcPr>
            <w:tcW w:w="2127" w:type="dxa"/>
            <w:shd w:val="clear" w:color="auto" w:fill="4A442A"/>
            <w:noWrap/>
          </w:tcPr>
          <w:p w:rsidR="008D0835" w:rsidRPr="00427E15" w:rsidRDefault="00D96C94" w:rsidP="00D96C94">
            <w:pPr>
              <w:pStyle w:val="AERtabletextheading"/>
              <w:jc w:val="center"/>
              <w:rPr>
                <w:bCs/>
                <w:color w:val="FFFFFF" w:themeColor="background1"/>
                <w:sz w:val="18"/>
              </w:rPr>
            </w:pPr>
            <w:r w:rsidRPr="00427E15">
              <w:rPr>
                <w:bCs/>
                <w:color w:val="FFFFFF" w:themeColor="background1"/>
                <w:sz w:val="18"/>
              </w:rPr>
              <w:t>Reason for variation</w:t>
            </w:r>
          </w:p>
        </w:tc>
        <w:tc>
          <w:tcPr>
            <w:tcW w:w="1842" w:type="dxa"/>
            <w:shd w:val="clear" w:color="auto" w:fill="4A442A"/>
            <w:noWrap/>
          </w:tcPr>
          <w:p w:rsidR="008D0835" w:rsidRPr="00427E15" w:rsidRDefault="008D0835" w:rsidP="008D0835">
            <w:pPr>
              <w:pStyle w:val="AERtabletextheading"/>
              <w:jc w:val="center"/>
              <w:rPr>
                <w:bCs/>
                <w:color w:val="FFFFFF" w:themeColor="background1"/>
                <w:sz w:val="18"/>
              </w:rPr>
            </w:pPr>
            <w:r w:rsidRPr="00427E15">
              <w:rPr>
                <w:bCs/>
                <w:color w:val="FFFFFF" w:themeColor="background1"/>
                <w:sz w:val="18"/>
              </w:rPr>
              <w:t>Availability</w:t>
            </w:r>
          </w:p>
        </w:tc>
        <w:tc>
          <w:tcPr>
            <w:tcW w:w="1418" w:type="dxa"/>
            <w:shd w:val="clear" w:color="auto" w:fill="4A442A"/>
            <w:noWrap/>
          </w:tcPr>
          <w:p w:rsidR="008D0835" w:rsidRPr="00427E15" w:rsidRDefault="008D0835" w:rsidP="008D0835">
            <w:pPr>
              <w:pStyle w:val="AERtabletextheading"/>
              <w:jc w:val="center"/>
              <w:rPr>
                <w:bCs/>
                <w:color w:val="FFFFFF" w:themeColor="background1"/>
                <w:sz w:val="18"/>
              </w:rPr>
            </w:pPr>
            <w:r w:rsidRPr="00427E15">
              <w:rPr>
                <w:bCs/>
                <w:color w:val="FFFFFF" w:themeColor="background1"/>
                <w:sz w:val="18"/>
              </w:rPr>
              <w:t>Demand</w:t>
            </w:r>
          </w:p>
        </w:tc>
        <w:tc>
          <w:tcPr>
            <w:tcW w:w="1843" w:type="dxa"/>
            <w:shd w:val="clear" w:color="auto" w:fill="4A442A"/>
            <w:noWrap/>
          </w:tcPr>
          <w:p w:rsidR="008D0835" w:rsidRPr="00427E15" w:rsidRDefault="008D0835" w:rsidP="008D0835">
            <w:pPr>
              <w:pStyle w:val="AERtabletextheading"/>
              <w:jc w:val="center"/>
              <w:rPr>
                <w:bCs/>
                <w:color w:val="FFFFFF" w:themeColor="background1"/>
                <w:sz w:val="18"/>
              </w:rPr>
            </w:pPr>
            <w:r w:rsidRPr="00427E15">
              <w:rPr>
                <w:bCs/>
                <w:color w:val="FFFFFF" w:themeColor="background1"/>
                <w:sz w:val="18"/>
              </w:rPr>
              <w:t>Network</w:t>
            </w:r>
          </w:p>
        </w:tc>
        <w:tc>
          <w:tcPr>
            <w:tcW w:w="1417" w:type="dxa"/>
            <w:shd w:val="clear" w:color="auto" w:fill="4A442A"/>
          </w:tcPr>
          <w:p w:rsidR="008D0835" w:rsidRPr="00427E15" w:rsidRDefault="008D0835" w:rsidP="008D0835">
            <w:pPr>
              <w:pStyle w:val="AERtabletextheading"/>
              <w:jc w:val="center"/>
              <w:rPr>
                <w:bCs/>
                <w:color w:val="FFFFFF" w:themeColor="background1"/>
                <w:sz w:val="18"/>
              </w:rPr>
            </w:pPr>
            <w:r w:rsidRPr="00427E15">
              <w:rPr>
                <w:bCs/>
                <w:color w:val="FFFFFF" w:themeColor="background1"/>
                <w:sz w:val="18"/>
              </w:rPr>
              <w:t>Combination</w:t>
            </w:r>
          </w:p>
        </w:tc>
      </w:tr>
      <w:tr w:rsidR="00155A20" w:rsidRPr="00155A20" w:rsidTr="00D7260E">
        <w:trPr>
          <w:trHeight w:hRule="exact" w:val="454"/>
        </w:trPr>
        <w:tc>
          <w:tcPr>
            <w:tcW w:w="2127" w:type="dxa"/>
            <w:tcBorders>
              <w:bottom w:val="nil"/>
            </w:tcBorders>
            <w:shd w:val="clear" w:color="auto" w:fill="DDD9C3"/>
            <w:noWrap/>
            <w:vAlign w:val="center"/>
          </w:tcPr>
          <w:p w:rsidR="00D70101" w:rsidRPr="00155A20" w:rsidRDefault="00D70101">
            <w:pPr>
              <w:pStyle w:val="AERtabletext"/>
              <w:spacing w:before="60" w:after="60"/>
              <w:rPr>
                <w:b/>
                <w:bCs/>
              </w:rPr>
            </w:pPr>
            <w:r w:rsidRPr="00155A20">
              <w:rPr>
                <w:b/>
                <w:bCs/>
              </w:rPr>
              <w:t>% of total above forecast</w:t>
            </w:r>
          </w:p>
        </w:tc>
        <w:tc>
          <w:tcPr>
            <w:tcW w:w="1842" w:type="dxa"/>
            <w:tcBorders>
              <w:bottom w:val="nil"/>
            </w:tcBorders>
            <w:shd w:val="clear" w:color="auto" w:fill="DDD9C3"/>
            <w:noWrap/>
            <w:vAlign w:val="center"/>
          </w:tcPr>
          <w:p w:rsidR="00D70101" w:rsidRPr="00155A20" w:rsidRDefault="00155A20">
            <w:pPr>
              <w:jc w:val="center"/>
              <w:rPr>
                <w:rFonts w:cs="Gautami"/>
                <w:sz w:val="16"/>
                <w:szCs w:val="16"/>
              </w:rPr>
            </w:pPr>
            <w:r w:rsidRPr="00155A20">
              <w:rPr>
                <w:rFonts w:cs="Gautami"/>
                <w:sz w:val="16"/>
                <w:szCs w:val="16"/>
              </w:rPr>
              <w:t>0</w:t>
            </w:r>
          </w:p>
        </w:tc>
        <w:tc>
          <w:tcPr>
            <w:tcW w:w="1418" w:type="dxa"/>
            <w:tcBorders>
              <w:bottom w:val="nil"/>
            </w:tcBorders>
            <w:shd w:val="clear" w:color="auto" w:fill="DDD9C3"/>
            <w:noWrap/>
            <w:vAlign w:val="center"/>
          </w:tcPr>
          <w:p w:rsidR="00D70101" w:rsidRPr="00155A20" w:rsidRDefault="00155A20">
            <w:pPr>
              <w:jc w:val="center"/>
              <w:rPr>
                <w:rFonts w:cs="Gautami"/>
                <w:sz w:val="16"/>
                <w:szCs w:val="16"/>
              </w:rPr>
            </w:pPr>
            <w:r w:rsidRPr="00155A20">
              <w:rPr>
                <w:rFonts w:cs="Gautami"/>
                <w:sz w:val="16"/>
                <w:szCs w:val="16"/>
              </w:rPr>
              <w:t>8</w:t>
            </w:r>
          </w:p>
        </w:tc>
        <w:tc>
          <w:tcPr>
            <w:tcW w:w="1843" w:type="dxa"/>
            <w:tcBorders>
              <w:bottom w:val="nil"/>
            </w:tcBorders>
            <w:shd w:val="clear" w:color="auto" w:fill="DDD9C3"/>
            <w:noWrap/>
            <w:vAlign w:val="center"/>
          </w:tcPr>
          <w:p w:rsidR="00D70101" w:rsidRPr="00155A20" w:rsidRDefault="00155A20">
            <w:pPr>
              <w:jc w:val="center"/>
              <w:rPr>
                <w:rFonts w:cs="Gautami"/>
                <w:sz w:val="16"/>
                <w:szCs w:val="16"/>
              </w:rPr>
            </w:pPr>
            <w:r w:rsidRPr="00155A20">
              <w:rPr>
                <w:rFonts w:cs="Gautami"/>
                <w:sz w:val="16"/>
                <w:szCs w:val="16"/>
              </w:rPr>
              <w:t>7</w:t>
            </w:r>
          </w:p>
        </w:tc>
        <w:tc>
          <w:tcPr>
            <w:tcW w:w="1417" w:type="dxa"/>
            <w:tcBorders>
              <w:bottom w:val="nil"/>
            </w:tcBorders>
            <w:shd w:val="clear" w:color="auto" w:fill="DDD9C3"/>
            <w:vAlign w:val="center"/>
          </w:tcPr>
          <w:p w:rsidR="00D70101" w:rsidRPr="00155A20" w:rsidRDefault="00D70101">
            <w:pPr>
              <w:jc w:val="center"/>
              <w:rPr>
                <w:rFonts w:cs="Gautami"/>
                <w:sz w:val="16"/>
                <w:szCs w:val="16"/>
              </w:rPr>
            </w:pPr>
            <w:r w:rsidRPr="00155A20">
              <w:rPr>
                <w:rFonts w:cs="Gautami"/>
                <w:sz w:val="16"/>
                <w:szCs w:val="16"/>
              </w:rPr>
              <w:t>2</w:t>
            </w:r>
          </w:p>
        </w:tc>
      </w:tr>
      <w:tr w:rsidR="00155A20" w:rsidRPr="00155A20" w:rsidTr="00D7260E">
        <w:trPr>
          <w:trHeight w:hRule="exact" w:val="454"/>
        </w:trPr>
        <w:tc>
          <w:tcPr>
            <w:tcW w:w="2127" w:type="dxa"/>
            <w:tcBorders>
              <w:top w:val="nil"/>
              <w:bottom w:val="single" w:sz="4" w:space="0" w:color="auto"/>
            </w:tcBorders>
            <w:shd w:val="clear" w:color="auto" w:fill="EEECE1"/>
            <w:noWrap/>
            <w:vAlign w:val="center"/>
          </w:tcPr>
          <w:p w:rsidR="00D70101" w:rsidRPr="00155A20" w:rsidRDefault="00D70101">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noWrap/>
            <w:vAlign w:val="center"/>
          </w:tcPr>
          <w:p w:rsidR="00D70101" w:rsidRPr="00155A20" w:rsidRDefault="00155A20">
            <w:pPr>
              <w:jc w:val="center"/>
              <w:rPr>
                <w:rFonts w:cs="Gautami"/>
                <w:sz w:val="16"/>
                <w:szCs w:val="16"/>
              </w:rPr>
            </w:pPr>
            <w:r w:rsidRPr="00155A20">
              <w:rPr>
                <w:rFonts w:cs="Gautami"/>
                <w:sz w:val="16"/>
                <w:szCs w:val="16"/>
              </w:rPr>
              <w:t>24</w:t>
            </w:r>
          </w:p>
        </w:tc>
        <w:tc>
          <w:tcPr>
            <w:tcW w:w="1418" w:type="dxa"/>
            <w:tcBorders>
              <w:top w:val="nil"/>
              <w:bottom w:val="single" w:sz="4" w:space="0" w:color="auto"/>
            </w:tcBorders>
            <w:shd w:val="clear" w:color="auto" w:fill="EEECE1"/>
            <w:noWrap/>
            <w:vAlign w:val="center"/>
          </w:tcPr>
          <w:p w:rsidR="00D70101" w:rsidRPr="00155A20" w:rsidRDefault="00D70101" w:rsidP="00155A20">
            <w:pPr>
              <w:jc w:val="center"/>
              <w:rPr>
                <w:rFonts w:cs="Gautami"/>
                <w:sz w:val="16"/>
                <w:szCs w:val="16"/>
              </w:rPr>
            </w:pPr>
            <w:r w:rsidRPr="00155A20">
              <w:rPr>
                <w:rFonts w:cs="Gautami"/>
                <w:sz w:val="16"/>
                <w:szCs w:val="16"/>
              </w:rPr>
              <w:t>4</w:t>
            </w:r>
            <w:r w:rsidR="00155A20" w:rsidRPr="00155A20">
              <w:rPr>
                <w:rFonts w:cs="Gautami"/>
                <w:sz w:val="16"/>
                <w:szCs w:val="16"/>
              </w:rPr>
              <w:t>8</w:t>
            </w:r>
          </w:p>
        </w:tc>
        <w:tc>
          <w:tcPr>
            <w:tcW w:w="1843" w:type="dxa"/>
            <w:tcBorders>
              <w:top w:val="nil"/>
              <w:bottom w:val="single" w:sz="4" w:space="0" w:color="auto"/>
            </w:tcBorders>
            <w:shd w:val="clear" w:color="auto" w:fill="EEECE1"/>
            <w:noWrap/>
            <w:vAlign w:val="center"/>
          </w:tcPr>
          <w:p w:rsidR="00D70101" w:rsidRPr="00155A20" w:rsidRDefault="00D70101">
            <w:pPr>
              <w:jc w:val="center"/>
              <w:rPr>
                <w:rFonts w:cs="Gautami"/>
                <w:sz w:val="16"/>
                <w:szCs w:val="16"/>
              </w:rPr>
            </w:pPr>
            <w:r w:rsidRPr="00155A20">
              <w:rPr>
                <w:rFonts w:cs="Gautami"/>
                <w:sz w:val="16"/>
                <w:szCs w:val="16"/>
              </w:rPr>
              <w:t>0</w:t>
            </w:r>
          </w:p>
        </w:tc>
        <w:tc>
          <w:tcPr>
            <w:tcW w:w="1417" w:type="dxa"/>
            <w:tcBorders>
              <w:top w:val="nil"/>
              <w:bottom w:val="single" w:sz="4" w:space="0" w:color="auto"/>
            </w:tcBorders>
            <w:shd w:val="clear" w:color="auto" w:fill="EEECE1"/>
            <w:vAlign w:val="center"/>
          </w:tcPr>
          <w:p w:rsidR="00D70101" w:rsidRPr="00155A20" w:rsidRDefault="00155A20">
            <w:pPr>
              <w:jc w:val="center"/>
              <w:rPr>
                <w:rFonts w:cs="Gautami"/>
                <w:sz w:val="16"/>
                <w:szCs w:val="16"/>
              </w:rPr>
            </w:pPr>
            <w:r w:rsidRPr="00155A20">
              <w:rPr>
                <w:rFonts w:cs="Gautami"/>
                <w:sz w:val="16"/>
                <w:szCs w:val="16"/>
              </w:rPr>
              <w:t>11</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Pr="0030575B" w:rsidRDefault="00F4461C" w:rsidP="00F4461C">
      <w:pPr>
        <w:pStyle w:val="Figureheading"/>
        <w:numPr>
          <w:ilvl w:val="0"/>
          <w:numId w:val="0"/>
        </w:numPr>
        <w:ind w:left="357" w:hanging="357"/>
      </w:pPr>
      <w:r w:rsidRPr="0030575B">
        <w:t>Figure 2: Queensland generation and bidding patterns</w:t>
      </w:r>
    </w:p>
    <w:p w:rsidR="00F4461C" w:rsidRPr="0030575B" w:rsidRDefault="00A7204C" w:rsidP="00F4461C">
      <w:pPr>
        <w:pStyle w:val="AERbodytext"/>
        <w:spacing w:after="120"/>
      </w:pPr>
      <w:r>
        <w:pict>
          <v:shape id="_x0000_i1028" type="#_x0000_t75" alt="Figure 2 shows the total generation dispatched and the amounts of capacity bid in within certain price bands for each 30 minute trading interval in Queensland this week. Should you require a description of the data for the week under review, please email us at AERInquiry@aer.gov.au." style="width:451pt;height:296.5pt">
            <v:imagedata r:id="rId13" o:title=""/>
          </v:shape>
        </w:pict>
      </w:r>
    </w:p>
    <w:p w:rsidR="00F4461C" w:rsidRPr="0030575B" w:rsidRDefault="00F4461C" w:rsidP="00F4461C">
      <w:pPr>
        <w:pStyle w:val="Figureheading"/>
        <w:numPr>
          <w:ilvl w:val="0"/>
          <w:numId w:val="0"/>
        </w:numPr>
        <w:ind w:left="357" w:hanging="357"/>
      </w:pPr>
      <w:r w:rsidRPr="0030575B">
        <w:t>Figure 3: New South Wales generation and bidding patterns</w:t>
      </w:r>
    </w:p>
    <w:p w:rsidR="00F4461C" w:rsidRPr="00D70101" w:rsidRDefault="00A7204C" w:rsidP="00F4461C">
      <w:pPr>
        <w:pStyle w:val="AERbodytext"/>
        <w:spacing w:after="120"/>
        <w:rPr>
          <w:color w:val="FF0000"/>
        </w:rPr>
      </w:pPr>
      <w:r>
        <w:pict>
          <v:shape id="_x0000_i1029" type="#_x0000_t75" alt="Figure 3 shows the total generation dispatched and the amounts of capacity bid in within certain price bands for each 30 minute trading interval in New South Wales this week. Should you require a description of the data for the week under review, please email us at AERInquiry@aer.gov.au." style="width:451pt;height:296.5pt">
            <v:imagedata r:id="rId14" o:title=""/>
          </v:shape>
        </w:pict>
      </w:r>
    </w:p>
    <w:p w:rsidR="00F4461C" w:rsidRPr="0030575B"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F4461C" w:rsidRPr="00D70101" w:rsidRDefault="00A7204C" w:rsidP="00F4461C">
      <w:pPr>
        <w:pStyle w:val="AERbodytext"/>
        <w:spacing w:after="120"/>
        <w:rPr>
          <w:color w:val="FF0000"/>
        </w:rPr>
      </w:pPr>
      <w:r>
        <w:pict>
          <v:shape id="_x0000_i1030" type="#_x0000_t75" alt="Figure 4 shows the total generation dispatched and the amounts of capacity bid in within certain price bands for each 30 minute trading interval in Victoria this week. Should you require a description of the data for the week under review, please email us at AERInquiry@aer.gov.au." style="width:451pt;height:296.5pt">
            <v:imagedata r:id="rId15" o:title=""/>
          </v:shape>
        </w:pict>
      </w: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D70101" w:rsidRDefault="00A7204C">
      <w:pPr>
        <w:pStyle w:val="AERbodytext"/>
        <w:spacing w:after="120"/>
        <w:rPr>
          <w:color w:val="FF0000"/>
        </w:rPr>
      </w:pPr>
      <w:r>
        <w:pict>
          <v:shape id="_x0000_i1031" type="#_x0000_t75" alt="Figure 5 shows the total generation dispatched and the amounts of capacity bid in within certain price bands for each 30 minute trading interval in South Australia this week. Should you require a description of the data for the week under review, please email us at AERInquiry@aer.gov.au." style="width:450.5pt;height:297.5pt">
            <v:imagedata r:id="rId16" o:title=""/>
          </v:shape>
        </w:pict>
      </w:r>
    </w:p>
    <w:p w:rsidR="0048688D" w:rsidRPr="0030575B"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A7204C">
      <w:pPr>
        <w:pStyle w:val="AERbodytext"/>
        <w:spacing w:after="120"/>
      </w:pPr>
      <w:r>
        <w:pict>
          <v:shape id="_x0000_i1032" type="#_x0000_t75" alt="Figure 6 shows the total generation dispatched and the amounts of capacity bid in within certain price bands for each 30 minute trading interval in Tasmania this week. Should you require a description of the data for the week under review, please email us at AERInquiry@aer.gov.au." style="width:452pt;height:296pt;mso-position-vertical:absolute">
            <v:imagedata r:id="rId17"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221B68" w:rsidP="00021E37">
      <w:pPr>
        <w:pStyle w:val="AERbodytext"/>
      </w:pPr>
      <w:r w:rsidRPr="008F05E6">
        <w:t xml:space="preserve">The total cost of FCAS on the mainland for the week </w:t>
      </w:r>
      <w:r w:rsidRPr="00021E37">
        <w:t>was $2</w:t>
      </w:r>
      <w:r w:rsidR="0030575B" w:rsidRPr="00021E37">
        <w:t>41</w:t>
      </w:r>
      <w:r w:rsidRPr="00021E37">
        <w:t> 000</w:t>
      </w:r>
      <w:r w:rsidR="00DF5554" w:rsidRPr="00021E37">
        <w:t>,</w:t>
      </w:r>
      <w:r w:rsidRPr="00021E37">
        <w:t xml:space="preserve"> or less than one per cent of energy turnover on the mainland. </w:t>
      </w:r>
      <w:r w:rsidR="00753DF7" w:rsidRPr="00021E37">
        <w:t xml:space="preserve">In </w:t>
      </w:r>
      <w:r w:rsidRPr="00021E37">
        <w:t xml:space="preserve">Tasmania </w:t>
      </w:r>
      <w:r w:rsidR="00753DF7" w:rsidRPr="00021E37">
        <w:t xml:space="preserve">(which requires dedicated services for much of the time) the total cost </w:t>
      </w:r>
      <w:r w:rsidRPr="00021E37">
        <w:t>for the week was $</w:t>
      </w:r>
      <w:r w:rsidR="0030575B" w:rsidRPr="00021E37">
        <w:t>123</w:t>
      </w:r>
      <w:r w:rsidRPr="00021E37">
        <w:t> </w:t>
      </w:r>
      <w:r w:rsidR="008245F0" w:rsidRPr="00021E37">
        <w:t>5</w:t>
      </w:r>
      <w:r w:rsidRPr="00021E37">
        <w:t xml:space="preserve">00 or </w:t>
      </w:r>
      <w:r w:rsidR="008245F0" w:rsidRPr="00021E37">
        <w:t xml:space="preserve">less than one </w:t>
      </w:r>
      <w:r w:rsidRPr="00021E37">
        <w:t>per cent of energy turnover in Tasmania</w:t>
      </w:r>
      <w:r w:rsidR="008F05E6" w:rsidRPr="00021E37">
        <w:t xml:space="preserve">. A majority of the cost </w:t>
      </w:r>
      <w:r w:rsidR="008F05E6">
        <w:t xml:space="preserve">($76 000) </w:t>
      </w:r>
      <w:r w:rsidR="008F05E6" w:rsidRPr="00021E37">
        <w:t xml:space="preserve">occurred on 18 July </w:t>
      </w:r>
      <w:r w:rsidR="00CB309F">
        <w:t xml:space="preserve">for Lower 6 second services </w:t>
      </w:r>
      <w:r w:rsidR="008F05E6" w:rsidRPr="00021E37">
        <w:t xml:space="preserve">when the loss of the </w:t>
      </w:r>
      <w:r w:rsidR="0003512C">
        <w:t xml:space="preserve">double circuit </w:t>
      </w:r>
      <w:r w:rsidR="008F05E6" w:rsidRPr="00021E37">
        <w:t>Sheffield to George Town 220 kV lines was reclassifi</w:t>
      </w:r>
      <w:r w:rsidR="0003512C">
        <w:t>ed</w:t>
      </w:r>
      <w:r w:rsidR="008F05E6" w:rsidRPr="00021E37">
        <w:t xml:space="preserve"> as a credible contingency </w:t>
      </w:r>
      <w:r w:rsidR="000230E3">
        <w:rPr>
          <w:lang w:eastAsia="en-AU"/>
        </w:rPr>
        <w:t xml:space="preserve">due to </w:t>
      </w:r>
      <w:r w:rsidR="000230E3" w:rsidRPr="00470218">
        <w:rPr>
          <w:lang w:eastAsia="en-AU"/>
        </w:rPr>
        <w:t>lightning</w:t>
      </w:r>
      <w:r w:rsidR="000230E3" w:rsidRPr="00021E37">
        <w:t xml:space="preserve"> </w:t>
      </w:r>
      <w:r w:rsidR="008F05E6" w:rsidRPr="00021E37">
        <w:t xml:space="preserve">(see </w:t>
      </w:r>
      <w:r w:rsidR="008F05E6" w:rsidRPr="00D7260E">
        <w:rPr>
          <w:i/>
        </w:rPr>
        <w:t>Detailed market analysis of significant price events</w:t>
      </w:r>
      <w:r w:rsidR="008F05E6">
        <w:t xml:space="preserve">). This saw around 300 MW of Tasmanian </w:t>
      </w:r>
      <w:proofErr w:type="gramStart"/>
      <w:r w:rsidR="008F05E6">
        <w:t>generation</w:t>
      </w:r>
      <w:proofErr w:type="gramEnd"/>
      <w:r w:rsidR="008F05E6">
        <w:t xml:space="preserve"> constrained down and </w:t>
      </w:r>
      <w:r w:rsidR="0003512C">
        <w:t>precluded from</w:t>
      </w:r>
      <w:r w:rsidR="008F05E6">
        <w:t xml:space="preserve"> provid</w:t>
      </w:r>
      <w:r w:rsidR="0003512C">
        <w:t>ing FCAS</w:t>
      </w:r>
      <w:r w:rsidR="009572E5">
        <w:t>.</w:t>
      </w:r>
      <w:r w:rsidR="008F05E6">
        <w:t xml:space="preserve"> </w:t>
      </w:r>
      <w:r w:rsidR="009572E5">
        <w:t xml:space="preserve">As a result </w:t>
      </w:r>
      <w:r w:rsidR="008F05E6">
        <w:t>the price for that service reached $2247/</w:t>
      </w:r>
      <w:r w:rsidR="00CB309F">
        <w:t>MW at 11.40 pm</w:t>
      </w:r>
      <w:r w:rsidR="008F05E6">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Pr="0030575B" w:rsidRDefault="00977DC4" w:rsidP="00977DC4">
      <w:pPr>
        <w:pStyle w:val="Figureheading"/>
        <w:numPr>
          <w:ilvl w:val="0"/>
          <w:numId w:val="0"/>
        </w:numPr>
        <w:ind w:left="357" w:hanging="357"/>
        <w:rPr>
          <w:i/>
        </w:rPr>
      </w:pPr>
      <w:r w:rsidRPr="0030575B">
        <w:t xml:space="preserve">Figure </w:t>
      </w:r>
      <w:r w:rsidR="00E27C7A" w:rsidRPr="0030575B">
        <w:t>7</w:t>
      </w:r>
      <w:r w:rsidRPr="0030575B">
        <w:t>: Daily frequency control ancillary service cost</w:t>
      </w:r>
    </w:p>
    <w:p w:rsidR="00B027E9" w:rsidRPr="00D70101" w:rsidRDefault="00A7204C">
      <w:pPr>
        <w:pStyle w:val="AERbodytext"/>
        <w:spacing w:after="0"/>
        <w:rPr>
          <w:color w:val="FF0000"/>
        </w:rPr>
      </w:pPr>
      <w:r>
        <w:pict>
          <v:shape id="_x0000_i1033" type="#_x0000_t75" alt="Figure 7 shows the daily breakdown of cost for each FCAS for the NEM, as well as the average cost since the beginning of the previous financial year. Should you require a description of the data for the week under review, please email us at  AERInquiry@aer.gov.au." style="width:450.5pt;height:225pt">
            <v:imagedata r:id="rId18" o:title=""/>
          </v:shape>
        </w:pict>
      </w:r>
    </w:p>
    <w:p w:rsidR="00977DC4" w:rsidRDefault="0061185F" w:rsidP="00BD4E2C">
      <w:pPr>
        <w:pStyle w:val="Heading2"/>
      </w:pPr>
      <w:r>
        <w:t>Detailed market analysis of significant price events</w:t>
      </w:r>
    </w:p>
    <w:p w:rsidR="002A424C" w:rsidRPr="00617793" w:rsidRDefault="00B032DD" w:rsidP="00977DC4">
      <w:pPr>
        <w:pStyle w:val="AERbodytext"/>
      </w:pPr>
      <w:r>
        <w:t>We</w:t>
      </w:r>
      <w:r w:rsidR="0061185F">
        <w:t xml:space="preserve"> provide more detailed analysis of events where the spot price was greater than three times the </w:t>
      </w:r>
      <w:r w:rsidR="0061185F" w:rsidRPr="00617793">
        <w:t xml:space="preserve">average weekly price in a region and above $250/MWh or was below </w:t>
      </w:r>
      <w:r w:rsidR="0061185F" w:rsidRPr="00617793">
        <w:noBreakHyphen/>
        <w:t xml:space="preserve">$100/MWh. </w:t>
      </w:r>
    </w:p>
    <w:p w:rsidR="00977DC4" w:rsidRPr="00617793" w:rsidRDefault="0061185F" w:rsidP="00977DC4">
      <w:pPr>
        <w:pStyle w:val="AERbodytext"/>
        <w:rPr>
          <w:lang w:eastAsia="en-AU"/>
        </w:rPr>
      </w:pPr>
      <w:r w:rsidRPr="00617793">
        <w:rPr>
          <w:lang w:eastAsia="en-AU"/>
        </w:rPr>
        <w:t>There w</w:t>
      </w:r>
      <w:r w:rsidR="00CC50B8" w:rsidRPr="00617793">
        <w:rPr>
          <w:lang w:eastAsia="en-AU"/>
        </w:rPr>
        <w:t>ere</w:t>
      </w:r>
      <w:r w:rsidRPr="00617793">
        <w:rPr>
          <w:lang w:eastAsia="en-AU"/>
        </w:rPr>
        <w:t xml:space="preserve"> </w:t>
      </w:r>
      <w:r w:rsidR="00617793" w:rsidRPr="00617793">
        <w:rPr>
          <w:lang w:eastAsia="en-AU"/>
        </w:rPr>
        <w:t>three</w:t>
      </w:r>
      <w:r w:rsidRPr="00617793">
        <w:rPr>
          <w:lang w:eastAsia="en-AU"/>
        </w:rPr>
        <w:t xml:space="preserve"> such occasion</w:t>
      </w:r>
      <w:r w:rsidR="00651B6F" w:rsidRPr="00617793">
        <w:rPr>
          <w:lang w:eastAsia="en-AU"/>
        </w:rPr>
        <w:t>s</w:t>
      </w:r>
      <w:r w:rsidRPr="00617793">
        <w:rPr>
          <w:lang w:eastAsia="en-AU"/>
        </w:rPr>
        <w:t xml:space="preserve"> during this week, which occurred in </w:t>
      </w:r>
      <w:r w:rsidR="00617793" w:rsidRPr="00617793">
        <w:rPr>
          <w:lang w:eastAsia="en-AU"/>
        </w:rPr>
        <w:t>Tasmania</w:t>
      </w:r>
      <w:r w:rsidR="00C6113D" w:rsidRPr="00617793">
        <w:rPr>
          <w:lang w:eastAsia="en-AU"/>
        </w:rPr>
        <w:t xml:space="preserve"> </w:t>
      </w:r>
      <w:r w:rsidR="00C5755B" w:rsidRPr="00617793">
        <w:rPr>
          <w:lang w:eastAsia="en-AU"/>
        </w:rPr>
        <w:t xml:space="preserve">on </w:t>
      </w:r>
      <w:r w:rsidR="0003512C">
        <w:rPr>
          <w:lang w:eastAsia="en-AU"/>
        </w:rPr>
        <w:t>Sunday</w:t>
      </w:r>
      <w:r w:rsidR="0003512C" w:rsidRPr="00617793">
        <w:rPr>
          <w:lang w:eastAsia="en-AU"/>
        </w:rPr>
        <w:t> </w:t>
      </w:r>
      <w:r w:rsidR="00617793" w:rsidRPr="00617793">
        <w:rPr>
          <w:lang w:eastAsia="en-AU"/>
        </w:rPr>
        <w:t xml:space="preserve">14 and </w:t>
      </w:r>
      <w:r w:rsidR="0003512C">
        <w:rPr>
          <w:lang w:eastAsia="en-AU"/>
        </w:rPr>
        <w:t xml:space="preserve">Thursday </w:t>
      </w:r>
      <w:r w:rsidR="00617793" w:rsidRPr="00617793">
        <w:rPr>
          <w:lang w:eastAsia="en-AU"/>
        </w:rPr>
        <w:t>18</w:t>
      </w:r>
      <w:r w:rsidR="00C5755B" w:rsidRPr="00617793">
        <w:rPr>
          <w:lang w:eastAsia="en-AU"/>
        </w:rPr>
        <w:t> </w:t>
      </w:r>
      <w:r w:rsidR="00CC50B8" w:rsidRPr="00617793">
        <w:rPr>
          <w:lang w:eastAsia="en-AU"/>
        </w:rPr>
        <w:t>July</w:t>
      </w:r>
      <w:r w:rsidRPr="00617793">
        <w:rPr>
          <w:lang w:eastAsia="en-AU"/>
        </w:rPr>
        <w:t xml:space="preserve">. </w:t>
      </w:r>
      <w:r w:rsidR="00CC50B8" w:rsidRPr="00617793">
        <w:rPr>
          <w:lang w:eastAsia="en-AU"/>
        </w:rPr>
        <w:t>The tables</w:t>
      </w:r>
      <w:r w:rsidR="00C6113D" w:rsidRPr="00617793">
        <w:rPr>
          <w:lang w:eastAsia="en-AU"/>
        </w:rPr>
        <w:t xml:space="preserve"> below show actual </w:t>
      </w:r>
      <w:r w:rsidR="00617793" w:rsidRPr="00617793">
        <w:rPr>
          <w:lang w:eastAsia="en-AU"/>
        </w:rPr>
        <w:t>Tasmanian</w:t>
      </w:r>
      <w:r w:rsidR="00C6113D" w:rsidRPr="00617793">
        <w:rPr>
          <w:lang w:eastAsia="en-AU"/>
        </w:rPr>
        <w:t xml:space="preserve"> price, demand and available capacity outcomes compared to those </w:t>
      </w:r>
      <w:r w:rsidR="00564D91" w:rsidRPr="00617793">
        <w:rPr>
          <w:lang w:eastAsia="en-AU"/>
        </w:rPr>
        <w:t xml:space="preserve">forecast </w:t>
      </w:r>
      <w:r w:rsidR="00C6113D" w:rsidRPr="00617793">
        <w:rPr>
          <w:lang w:eastAsia="en-AU"/>
        </w:rPr>
        <w:t xml:space="preserve">4 and 12 hour ahead. </w:t>
      </w:r>
    </w:p>
    <w:p w:rsidR="00F71CEE" w:rsidRPr="00470218" w:rsidRDefault="00977DC4" w:rsidP="00F71CEE">
      <w:pPr>
        <w:pStyle w:val="AERtabletitle"/>
      </w:pPr>
      <w:r w:rsidRPr="00470218">
        <w:t xml:space="preserve">Table </w:t>
      </w:r>
      <w:r w:rsidR="009428AF" w:rsidRPr="00470218">
        <w:t>3</w:t>
      </w:r>
      <w:r w:rsidRPr="00470218">
        <w:t xml:space="preserve">: </w:t>
      </w:r>
      <w:r w:rsidR="00470218" w:rsidRPr="00470218">
        <w:t>Tasmania</w:t>
      </w:r>
      <w:r w:rsidR="00F71CEE" w:rsidRPr="00470218">
        <w:t xml:space="preserve">, </w:t>
      </w:r>
      <w:r w:rsidR="00470218">
        <w:t>Su</w:t>
      </w:r>
      <w:r w:rsidR="00CC50B8" w:rsidRPr="00470218">
        <w:t>nday</w:t>
      </w:r>
      <w:r w:rsidR="00F71CEE" w:rsidRPr="00470218">
        <w:t> </w:t>
      </w:r>
      <w:r w:rsidR="00C24F2E" w:rsidRPr="00470218">
        <w:t>14</w:t>
      </w:r>
      <w:r w:rsidR="00F71CEE" w:rsidRPr="00470218">
        <w:t> </w:t>
      </w:r>
      <w:r w:rsidR="00CC50B8" w:rsidRPr="00470218">
        <w:t>July</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095C39" w:rsidRPr="00095C39" w:rsidTr="00186747">
        <w:tc>
          <w:tcPr>
            <w:tcW w:w="2802" w:type="dxa"/>
            <w:shd w:val="clear" w:color="auto" w:fill="4A442A"/>
            <w:noWrap/>
            <w:vAlign w:val="bottom"/>
          </w:tcPr>
          <w:p w:rsidR="00CC50B8" w:rsidRPr="00186747" w:rsidRDefault="00470218" w:rsidP="00AB0E4E">
            <w:pPr>
              <w:autoSpaceDE w:val="0"/>
              <w:autoSpaceDN w:val="0"/>
              <w:adjustRightInd w:val="0"/>
              <w:spacing w:before="100" w:after="100"/>
              <w:rPr>
                <w:color w:val="FFFFFF"/>
                <w:sz w:val="18"/>
                <w:szCs w:val="18"/>
              </w:rPr>
            </w:pPr>
            <w:r w:rsidRPr="00186747">
              <w:rPr>
                <w:b/>
                <w:bCs/>
                <w:color w:val="FFFFFF"/>
                <w:sz w:val="18"/>
                <w:szCs w:val="18"/>
              </w:rPr>
              <w:t>10</w:t>
            </w:r>
            <w:r w:rsidR="00CC50B8" w:rsidRPr="00186747">
              <w:rPr>
                <w:b/>
                <w:bCs/>
                <w:color w:val="FFFFFF"/>
                <w:sz w:val="18"/>
                <w:szCs w:val="18"/>
              </w:rPr>
              <w:t xml:space="preserve">:00 </w:t>
            </w:r>
            <w:r w:rsidR="0060567F" w:rsidRPr="00D7260E">
              <w:rPr>
                <w:b/>
                <w:bCs/>
                <w:color w:val="FFFFFF"/>
                <w:sz w:val="18"/>
                <w:szCs w:val="18"/>
              </w:rPr>
              <w:t>P</w:t>
            </w:r>
            <w:r w:rsidR="0060567F" w:rsidRPr="00186747">
              <w:rPr>
                <w:b/>
                <w:bCs/>
                <w:color w:val="FFFFFF"/>
                <w:sz w:val="18"/>
                <w:szCs w:val="18"/>
              </w:rPr>
              <w:t>M</w:t>
            </w:r>
          </w:p>
        </w:tc>
        <w:tc>
          <w:tcPr>
            <w:tcW w:w="2090" w:type="dxa"/>
            <w:shd w:val="clear" w:color="auto" w:fill="4A442A"/>
            <w:noWrap/>
            <w:vAlign w:val="bottom"/>
          </w:tcPr>
          <w:p w:rsidR="00CC50B8" w:rsidRPr="00186747" w:rsidRDefault="00CC50B8" w:rsidP="00CC50B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CC50B8" w:rsidRPr="00186747" w:rsidRDefault="00CC50B8" w:rsidP="00CC50B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CC50B8" w:rsidRPr="00186747" w:rsidRDefault="00CC50B8" w:rsidP="00CC50B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470218" w:rsidRPr="00095C39" w:rsidTr="00186747">
        <w:tc>
          <w:tcPr>
            <w:tcW w:w="2802" w:type="dxa"/>
            <w:shd w:val="clear" w:color="auto" w:fill="DDD9C3"/>
            <w:noWrap/>
            <w:vAlign w:val="bottom"/>
          </w:tcPr>
          <w:p w:rsidR="00470218" w:rsidRPr="00470218" w:rsidRDefault="00470218" w:rsidP="00CC50B8">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1834.38</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58.67</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56.06</w:t>
            </w:r>
          </w:p>
        </w:tc>
      </w:tr>
      <w:tr w:rsidR="00470218" w:rsidRPr="00095C39" w:rsidTr="00186747">
        <w:tc>
          <w:tcPr>
            <w:tcW w:w="2802" w:type="dxa"/>
            <w:tcBorders>
              <w:bottom w:val="nil"/>
            </w:tcBorders>
            <w:shd w:val="clear" w:color="auto" w:fill="EEECE1"/>
            <w:noWrap/>
            <w:vAlign w:val="bottom"/>
          </w:tcPr>
          <w:p w:rsidR="00470218" w:rsidRPr="00470218" w:rsidRDefault="00470218" w:rsidP="00CC50B8">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1167</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1214</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1189</w:t>
            </w:r>
          </w:p>
        </w:tc>
      </w:tr>
      <w:tr w:rsidR="00470218" w:rsidRPr="00095C39" w:rsidTr="00186747">
        <w:tc>
          <w:tcPr>
            <w:tcW w:w="2802" w:type="dxa"/>
            <w:tcBorders>
              <w:top w:val="nil"/>
              <w:bottom w:val="single" w:sz="4" w:space="0" w:color="auto"/>
            </w:tcBorders>
            <w:shd w:val="clear" w:color="auto" w:fill="DDD9C3"/>
            <w:noWrap/>
            <w:vAlign w:val="bottom"/>
          </w:tcPr>
          <w:p w:rsidR="00470218" w:rsidRPr="00470218" w:rsidRDefault="00470218" w:rsidP="00CC50B8">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2218</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2195</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2188</w:t>
            </w:r>
          </w:p>
        </w:tc>
      </w:tr>
    </w:tbl>
    <w:p w:rsidR="00C07ABE" w:rsidRDefault="00C07ABE" w:rsidP="00C07ABE">
      <w:pPr>
        <w:pStyle w:val="AERbodytext"/>
        <w:rPr>
          <w:lang w:eastAsia="en-AU"/>
        </w:rPr>
      </w:pPr>
    </w:p>
    <w:p w:rsidR="00470218" w:rsidRPr="00470218" w:rsidRDefault="00470218" w:rsidP="00C07ABE">
      <w:pPr>
        <w:pStyle w:val="AERbodytext"/>
        <w:rPr>
          <w:lang w:eastAsia="en-AU"/>
        </w:rPr>
      </w:pPr>
      <w:r w:rsidRPr="00470218">
        <w:rPr>
          <w:lang w:eastAsia="en-AU"/>
        </w:rPr>
        <w:t xml:space="preserve">Conditions at the time saw demand and available </w:t>
      </w:r>
      <w:r w:rsidR="00C07ABE">
        <w:rPr>
          <w:lang w:eastAsia="en-AU"/>
        </w:rPr>
        <w:t>capacity close to that forecast</w:t>
      </w:r>
      <w:r w:rsidRPr="00470218">
        <w:rPr>
          <w:lang w:eastAsia="en-AU"/>
        </w:rPr>
        <w:t>.</w:t>
      </w:r>
    </w:p>
    <w:p w:rsidR="00470218" w:rsidRPr="00470218" w:rsidRDefault="00470218" w:rsidP="00C07ABE">
      <w:pPr>
        <w:pStyle w:val="AERbodytext"/>
        <w:rPr>
          <w:lang w:eastAsia="en-AU"/>
        </w:rPr>
      </w:pPr>
      <w:r w:rsidRPr="00470218">
        <w:rPr>
          <w:lang w:eastAsia="en-AU"/>
        </w:rPr>
        <w:t>The high price was driven by network constraints in Tasmania. The constraint T&gt;&gt;T_NIL_BL_EXP_5F manag</w:t>
      </w:r>
      <w:r w:rsidR="0003512C">
        <w:rPr>
          <w:lang w:eastAsia="en-AU"/>
        </w:rPr>
        <w:t>es</w:t>
      </w:r>
      <w:r w:rsidRPr="00470218">
        <w:rPr>
          <w:lang w:eastAsia="en-AU"/>
        </w:rPr>
        <w:t xml:space="preserve"> post contingent flows on the Hadspen to Georgetown 220 kV lines. The constraint affects </w:t>
      </w:r>
      <w:r w:rsidR="009D40E0">
        <w:rPr>
          <w:lang w:eastAsia="en-AU"/>
        </w:rPr>
        <w:t xml:space="preserve">all </w:t>
      </w:r>
      <w:r w:rsidRPr="00470218">
        <w:rPr>
          <w:lang w:eastAsia="en-AU"/>
        </w:rPr>
        <w:t xml:space="preserve">Tasmanian generation </w:t>
      </w:r>
      <w:r w:rsidR="00BE19A9">
        <w:rPr>
          <w:lang w:eastAsia="en-AU"/>
        </w:rPr>
        <w:t xml:space="preserve">except </w:t>
      </w:r>
      <w:r w:rsidR="001A6867">
        <w:rPr>
          <w:lang w:eastAsia="en-AU"/>
        </w:rPr>
        <w:t>for generation at</w:t>
      </w:r>
      <w:r w:rsidR="00BE19A9">
        <w:rPr>
          <w:lang w:eastAsia="en-AU"/>
        </w:rPr>
        <w:t xml:space="preserve"> </w:t>
      </w:r>
      <w:r w:rsidR="001A6867">
        <w:rPr>
          <w:lang w:eastAsia="en-AU"/>
        </w:rPr>
        <w:t>T</w:t>
      </w:r>
      <w:r w:rsidR="00BE19A9">
        <w:rPr>
          <w:lang w:eastAsia="en-AU"/>
        </w:rPr>
        <w:t>amar</w:t>
      </w:r>
      <w:r w:rsidR="001A6867">
        <w:rPr>
          <w:lang w:eastAsia="en-AU"/>
        </w:rPr>
        <w:t xml:space="preserve"> </w:t>
      </w:r>
      <w:r w:rsidR="00BE19A9">
        <w:rPr>
          <w:lang w:eastAsia="en-AU"/>
        </w:rPr>
        <w:t xml:space="preserve">Valley </w:t>
      </w:r>
      <w:r w:rsidR="001C2729">
        <w:rPr>
          <w:lang w:eastAsia="en-AU"/>
        </w:rPr>
        <w:t xml:space="preserve">(which was offline) </w:t>
      </w:r>
      <w:r w:rsidRPr="00470218">
        <w:rPr>
          <w:lang w:eastAsia="en-AU"/>
        </w:rPr>
        <w:t>and forces exports to Victoria across Basslink.</w:t>
      </w:r>
    </w:p>
    <w:p w:rsidR="00470218" w:rsidRPr="00470218" w:rsidRDefault="00470218" w:rsidP="00C07ABE">
      <w:pPr>
        <w:pStyle w:val="AERbodytext"/>
        <w:rPr>
          <w:lang w:eastAsia="en-AU"/>
        </w:rPr>
      </w:pPr>
      <w:r w:rsidRPr="00470218">
        <w:rPr>
          <w:lang w:eastAsia="en-AU"/>
        </w:rPr>
        <w:t>An increase in flows across the Hadspen</w:t>
      </w:r>
      <w:r w:rsidR="009D40E0">
        <w:rPr>
          <w:lang w:eastAsia="en-AU"/>
        </w:rPr>
        <w:t xml:space="preserve"> to </w:t>
      </w:r>
      <w:r w:rsidRPr="00470218">
        <w:rPr>
          <w:lang w:eastAsia="en-AU"/>
        </w:rPr>
        <w:t>Georgetown 220 kV line</w:t>
      </w:r>
      <w:r w:rsidR="009D40E0">
        <w:rPr>
          <w:lang w:eastAsia="en-AU"/>
        </w:rPr>
        <w:t>s</w:t>
      </w:r>
      <w:r w:rsidRPr="00470218">
        <w:rPr>
          <w:lang w:eastAsia="en-AU"/>
        </w:rPr>
        <w:t xml:space="preserve"> from 9.40 pm </w:t>
      </w:r>
      <w:r w:rsidR="009D40E0">
        <w:rPr>
          <w:lang w:eastAsia="en-AU"/>
        </w:rPr>
        <w:t xml:space="preserve">caused </w:t>
      </w:r>
      <w:r w:rsidRPr="00470218">
        <w:rPr>
          <w:lang w:eastAsia="en-AU"/>
        </w:rPr>
        <w:t>the T&gt;&gt;T_NIL_BL_EXP_5F constraint</w:t>
      </w:r>
      <w:r w:rsidR="009D40E0">
        <w:rPr>
          <w:lang w:eastAsia="en-AU"/>
        </w:rPr>
        <w:t xml:space="preserve"> to bind</w:t>
      </w:r>
      <w:r w:rsidR="000230E3">
        <w:rPr>
          <w:lang w:eastAsia="en-AU"/>
        </w:rPr>
        <w:t xml:space="preserve"> intermittently</w:t>
      </w:r>
      <w:r w:rsidR="00AB0E4E">
        <w:rPr>
          <w:lang w:eastAsia="en-AU"/>
        </w:rPr>
        <w:t xml:space="preserve">. </w:t>
      </w:r>
      <w:r w:rsidR="000230E3">
        <w:rPr>
          <w:lang w:eastAsia="en-AU"/>
        </w:rPr>
        <w:t xml:space="preserve">When </w:t>
      </w:r>
      <w:r w:rsidRPr="00470218">
        <w:rPr>
          <w:lang w:eastAsia="en-AU"/>
        </w:rPr>
        <w:t>the constraint bound for the 10 pm dispatch interval</w:t>
      </w:r>
      <w:r w:rsidR="000230E3">
        <w:rPr>
          <w:lang w:eastAsia="en-AU"/>
        </w:rPr>
        <w:t xml:space="preserve">, </w:t>
      </w:r>
      <w:r w:rsidR="000230E3" w:rsidRPr="00470218">
        <w:rPr>
          <w:lang w:eastAsia="en-AU"/>
        </w:rPr>
        <w:t xml:space="preserve">around </w:t>
      </w:r>
      <w:r w:rsidRPr="00470218">
        <w:rPr>
          <w:lang w:eastAsia="en-AU"/>
        </w:rPr>
        <w:t xml:space="preserve">250 MW of Tasmanian </w:t>
      </w:r>
      <w:proofErr w:type="gramStart"/>
      <w:r w:rsidRPr="00470218">
        <w:rPr>
          <w:lang w:eastAsia="en-AU"/>
        </w:rPr>
        <w:t>generation</w:t>
      </w:r>
      <w:proofErr w:type="gramEnd"/>
      <w:r w:rsidRPr="00470218">
        <w:rPr>
          <w:lang w:eastAsia="en-AU"/>
        </w:rPr>
        <w:t xml:space="preserve"> was constrained down and exports to Victoria were reduced by 75 MW</w:t>
      </w:r>
      <w:r w:rsidR="000230E3">
        <w:rPr>
          <w:lang w:eastAsia="en-AU"/>
        </w:rPr>
        <w:t xml:space="preserve">. </w:t>
      </w:r>
      <w:r w:rsidR="000230E3" w:rsidRPr="00470218">
        <w:rPr>
          <w:lang w:eastAsia="en-AU"/>
        </w:rPr>
        <w:t xml:space="preserve">Due to limited ramp rate capability (and generators trapped in FCAS) </w:t>
      </w:r>
      <w:r w:rsidRPr="00470218">
        <w:rPr>
          <w:lang w:eastAsia="en-AU"/>
        </w:rPr>
        <w:t>the five minute price reach</w:t>
      </w:r>
      <w:r w:rsidR="000230E3">
        <w:rPr>
          <w:lang w:eastAsia="en-AU"/>
        </w:rPr>
        <w:t>ed</w:t>
      </w:r>
      <w:r w:rsidRPr="00470218">
        <w:rPr>
          <w:lang w:eastAsia="en-AU"/>
        </w:rPr>
        <w:t xml:space="preserve"> $10 607/MWh.</w:t>
      </w:r>
    </w:p>
    <w:p w:rsidR="00470218" w:rsidRPr="00470218" w:rsidRDefault="00470218" w:rsidP="00C07ABE">
      <w:pPr>
        <w:pStyle w:val="AERbodytext"/>
        <w:rPr>
          <w:lang w:eastAsia="en-AU"/>
        </w:rPr>
      </w:pPr>
      <w:r w:rsidRPr="00470218">
        <w:rPr>
          <w:lang w:eastAsia="en-AU"/>
        </w:rPr>
        <w:t>In response to the high price there was an apparent 45 MW demand side response from a Tasmanian industrial load and prices returned to previous levels</w:t>
      </w:r>
    </w:p>
    <w:p w:rsidR="00CC50B8" w:rsidRPr="00470218" w:rsidRDefault="00470218" w:rsidP="00470218">
      <w:pPr>
        <w:pStyle w:val="AERbodytext"/>
        <w:rPr>
          <w:lang w:eastAsia="en-AU"/>
        </w:rPr>
      </w:pPr>
      <w:r w:rsidRPr="00470218">
        <w:rPr>
          <w:lang w:eastAsia="en-AU"/>
        </w:rPr>
        <w:t>There was no significant rebidding.</w:t>
      </w:r>
    </w:p>
    <w:p w:rsidR="00FA0B81" w:rsidRPr="00470218" w:rsidRDefault="00FA0B81" w:rsidP="00FA0B81">
      <w:pPr>
        <w:pStyle w:val="AERtabletitle"/>
      </w:pPr>
      <w:r w:rsidRPr="00470218">
        <w:t xml:space="preserve">Table 4: </w:t>
      </w:r>
      <w:r w:rsidR="00470218" w:rsidRPr="00470218">
        <w:t>Tasmania</w:t>
      </w:r>
      <w:r w:rsidRPr="00470218">
        <w:t xml:space="preserve">, </w:t>
      </w:r>
      <w:r w:rsidR="00470218" w:rsidRPr="00470218">
        <w:t>Thursday</w:t>
      </w:r>
      <w:r w:rsidRPr="00470218">
        <w:t> </w:t>
      </w:r>
      <w:r w:rsidR="00470218" w:rsidRPr="00470218">
        <w:t>1</w:t>
      </w:r>
      <w:r w:rsidRPr="00470218">
        <w:t>8 July</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470218" w:rsidRPr="00095C39" w:rsidTr="00470218">
        <w:trPr>
          <w:trHeight w:hRule="exact" w:val="397"/>
        </w:trPr>
        <w:tc>
          <w:tcPr>
            <w:tcW w:w="2802" w:type="dxa"/>
            <w:shd w:val="clear" w:color="auto" w:fill="4A442A"/>
            <w:noWrap/>
            <w:vAlign w:val="bottom"/>
          </w:tcPr>
          <w:p w:rsidR="00470218" w:rsidRPr="00186747" w:rsidRDefault="00470218" w:rsidP="00470218">
            <w:pPr>
              <w:autoSpaceDE w:val="0"/>
              <w:autoSpaceDN w:val="0"/>
              <w:adjustRightInd w:val="0"/>
              <w:spacing w:before="100" w:after="100"/>
              <w:rPr>
                <w:b/>
                <w:bCs/>
                <w:color w:val="FFFFFF"/>
                <w:sz w:val="18"/>
                <w:szCs w:val="18"/>
              </w:rPr>
            </w:pPr>
            <w:r w:rsidRPr="00186747">
              <w:rPr>
                <w:b/>
                <w:bCs/>
                <w:color w:val="FFFFFF"/>
                <w:sz w:val="18"/>
                <w:szCs w:val="18"/>
              </w:rPr>
              <w:t>10:00 PM</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Actual</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470218" w:rsidRPr="00095C39" w:rsidTr="00470218">
        <w:trPr>
          <w:trHeight w:hRule="exact" w:val="397"/>
        </w:trPr>
        <w:tc>
          <w:tcPr>
            <w:tcW w:w="2802" w:type="dxa"/>
            <w:shd w:val="clear" w:color="auto" w:fill="DDD9C3"/>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2340.35</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36.28</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43.90</w:t>
            </w:r>
          </w:p>
        </w:tc>
      </w:tr>
      <w:tr w:rsidR="00470218" w:rsidRPr="00095C39" w:rsidTr="00470218">
        <w:trPr>
          <w:trHeight w:hRule="exact" w:val="397"/>
        </w:trPr>
        <w:tc>
          <w:tcPr>
            <w:tcW w:w="2802" w:type="dxa"/>
            <w:tcBorders>
              <w:bottom w:val="nil"/>
            </w:tcBorders>
            <w:shd w:val="clear" w:color="auto" w:fill="EEECE1"/>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1052</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1120</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1142</w:t>
            </w:r>
          </w:p>
        </w:tc>
      </w:tr>
      <w:tr w:rsidR="00470218" w:rsidRPr="00095C39" w:rsidTr="00470218">
        <w:trPr>
          <w:trHeight w:hRule="exact" w:val="397"/>
        </w:trPr>
        <w:tc>
          <w:tcPr>
            <w:tcW w:w="2802" w:type="dxa"/>
            <w:tcBorders>
              <w:top w:val="nil"/>
              <w:bottom w:val="single" w:sz="4" w:space="0" w:color="auto"/>
            </w:tcBorders>
            <w:shd w:val="clear" w:color="auto" w:fill="DDD9C3"/>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2268</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2258</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2243</w:t>
            </w:r>
          </w:p>
        </w:tc>
      </w:tr>
      <w:tr w:rsidR="00470218" w:rsidRPr="00095C39" w:rsidTr="00470218">
        <w:trPr>
          <w:trHeight w:hRule="exact" w:val="397"/>
        </w:trPr>
        <w:tc>
          <w:tcPr>
            <w:tcW w:w="2802" w:type="dxa"/>
            <w:shd w:val="clear" w:color="auto" w:fill="4A442A"/>
            <w:noWrap/>
            <w:vAlign w:val="bottom"/>
          </w:tcPr>
          <w:p w:rsidR="00470218" w:rsidRPr="00186747" w:rsidRDefault="00470218" w:rsidP="00470218">
            <w:pPr>
              <w:autoSpaceDE w:val="0"/>
              <w:autoSpaceDN w:val="0"/>
              <w:adjustRightInd w:val="0"/>
              <w:spacing w:before="100" w:after="100"/>
              <w:rPr>
                <w:b/>
                <w:bCs/>
                <w:color w:val="FFFFFF"/>
                <w:sz w:val="18"/>
                <w:szCs w:val="18"/>
              </w:rPr>
            </w:pPr>
            <w:r w:rsidRPr="00186747">
              <w:rPr>
                <w:b/>
                <w:bCs/>
                <w:color w:val="FFFFFF"/>
                <w:sz w:val="18"/>
                <w:szCs w:val="18"/>
              </w:rPr>
              <w:t>11:30 PM</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Actual</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470218" w:rsidRPr="00186747" w:rsidRDefault="00470218" w:rsidP="00470218">
            <w:pPr>
              <w:autoSpaceDE w:val="0"/>
              <w:autoSpaceDN w:val="0"/>
              <w:adjustRightInd w:val="0"/>
              <w:spacing w:before="100" w:beforeAutospacing="1" w:after="100" w:afterAutospacing="1"/>
              <w:jc w:val="center"/>
              <w:rPr>
                <w:b/>
                <w:bCs/>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470218" w:rsidRPr="00095C39" w:rsidTr="00470218">
        <w:trPr>
          <w:trHeight w:hRule="exact" w:val="397"/>
        </w:trPr>
        <w:tc>
          <w:tcPr>
            <w:tcW w:w="2802" w:type="dxa"/>
            <w:shd w:val="clear" w:color="auto" w:fill="DDD9C3"/>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2209.02</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36.28</w:t>
            </w:r>
          </w:p>
        </w:tc>
        <w:tc>
          <w:tcPr>
            <w:tcW w:w="2090" w:type="dxa"/>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44.30</w:t>
            </w:r>
          </w:p>
        </w:tc>
      </w:tr>
      <w:tr w:rsidR="00470218" w:rsidRPr="00095C39" w:rsidTr="00470218">
        <w:trPr>
          <w:trHeight w:hRule="exact" w:val="397"/>
        </w:trPr>
        <w:tc>
          <w:tcPr>
            <w:tcW w:w="2802" w:type="dxa"/>
            <w:tcBorders>
              <w:bottom w:val="nil"/>
            </w:tcBorders>
            <w:shd w:val="clear" w:color="auto" w:fill="EEECE1"/>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919</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975</w:t>
            </w:r>
          </w:p>
        </w:tc>
        <w:tc>
          <w:tcPr>
            <w:tcW w:w="2090" w:type="dxa"/>
            <w:tcBorders>
              <w:bottom w:val="nil"/>
            </w:tcBorders>
            <w:shd w:val="clear" w:color="auto" w:fill="EEECE1"/>
            <w:noWrap/>
            <w:vAlign w:val="center"/>
          </w:tcPr>
          <w:p w:rsidR="00470218" w:rsidRPr="00470218" w:rsidRDefault="00470218" w:rsidP="00470218">
            <w:pPr>
              <w:jc w:val="center"/>
              <w:rPr>
                <w:rFonts w:cs="Gautami"/>
                <w:sz w:val="16"/>
                <w:szCs w:val="16"/>
              </w:rPr>
            </w:pPr>
            <w:r w:rsidRPr="00470218">
              <w:rPr>
                <w:rFonts w:cs="Gautami"/>
                <w:sz w:val="16"/>
                <w:szCs w:val="16"/>
              </w:rPr>
              <w:t>1023</w:t>
            </w:r>
          </w:p>
        </w:tc>
      </w:tr>
      <w:tr w:rsidR="00470218" w:rsidRPr="00095C39" w:rsidTr="00470218">
        <w:trPr>
          <w:trHeight w:hRule="exact" w:val="397"/>
        </w:trPr>
        <w:tc>
          <w:tcPr>
            <w:tcW w:w="2802" w:type="dxa"/>
            <w:tcBorders>
              <w:top w:val="nil"/>
              <w:bottom w:val="single" w:sz="4" w:space="0" w:color="auto"/>
            </w:tcBorders>
            <w:shd w:val="clear" w:color="auto" w:fill="DDD9C3"/>
            <w:noWrap/>
            <w:vAlign w:val="bottom"/>
          </w:tcPr>
          <w:p w:rsidR="00470218" w:rsidRPr="00470218" w:rsidRDefault="00470218" w:rsidP="00470218">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2200</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2255</w:t>
            </w:r>
          </w:p>
        </w:tc>
        <w:tc>
          <w:tcPr>
            <w:tcW w:w="2090" w:type="dxa"/>
            <w:tcBorders>
              <w:top w:val="nil"/>
              <w:bottom w:val="single" w:sz="4" w:space="0" w:color="auto"/>
            </w:tcBorders>
            <w:shd w:val="clear" w:color="auto" w:fill="DDD9C3"/>
            <w:noWrap/>
            <w:vAlign w:val="center"/>
          </w:tcPr>
          <w:p w:rsidR="00470218" w:rsidRPr="00470218" w:rsidRDefault="00470218" w:rsidP="00470218">
            <w:pPr>
              <w:jc w:val="center"/>
              <w:rPr>
                <w:rFonts w:cs="Gautami"/>
                <w:sz w:val="16"/>
                <w:szCs w:val="16"/>
              </w:rPr>
            </w:pPr>
            <w:r w:rsidRPr="00470218">
              <w:rPr>
                <w:rFonts w:cs="Gautami"/>
                <w:sz w:val="16"/>
                <w:szCs w:val="16"/>
              </w:rPr>
              <w:t>2202</w:t>
            </w:r>
          </w:p>
        </w:tc>
      </w:tr>
    </w:tbl>
    <w:p w:rsidR="00C07ABE" w:rsidRDefault="00C07ABE" w:rsidP="00C07ABE">
      <w:pPr>
        <w:pStyle w:val="AERbodytext"/>
        <w:rPr>
          <w:lang w:eastAsia="en-AU"/>
        </w:rPr>
      </w:pPr>
    </w:p>
    <w:p w:rsidR="00470218" w:rsidRPr="00470218" w:rsidRDefault="00470218" w:rsidP="00C07ABE">
      <w:pPr>
        <w:pStyle w:val="AERbodytext"/>
        <w:rPr>
          <w:lang w:eastAsia="en-AU"/>
        </w:rPr>
      </w:pPr>
      <w:r w:rsidRPr="00470218">
        <w:rPr>
          <w:lang w:eastAsia="en-AU"/>
        </w:rPr>
        <w:t xml:space="preserve">Conditions at the time saw demand and available capacity close to that forecast. </w:t>
      </w:r>
    </w:p>
    <w:p w:rsidR="00470218" w:rsidRPr="00470218" w:rsidRDefault="00444DB2" w:rsidP="00C07ABE">
      <w:pPr>
        <w:pStyle w:val="AERbodytext"/>
        <w:rPr>
          <w:lang w:eastAsia="en-AU"/>
        </w:rPr>
      </w:pPr>
      <w:r>
        <w:rPr>
          <w:lang w:eastAsia="en-AU"/>
        </w:rPr>
        <w:t>At 9.35 pm AEMO</w:t>
      </w:r>
      <w:r w:rsidR="00470218" w:rsidRPr="00470218">
        <w:rPr>
          <w:lang w:eastAsia="en-AU"/>
        </w:rPr>
        <w:t xml:space="preserve"> </w:t>
      </w:r>
      <w:r w:rsidRPr="00470218">
        <w:rPr>
          <w:lang w:eastAsia="en-AU"/>
        </w:rPr>
        <w:t>reclassif</w:t>
      </w:r>
      <w:r>
        <w:rPr>
          <w:lang w:eastAsia="en-AU"/>
        </w:rPr>
        <w:t>ied</w:t>
      </w:r>
      <w:r w:rsidRPr="00470218">
        <w:rPr>
          <w:lang w:eastAsia="en-AU"/>
        </w:rPr>
        <w:t xml:space="preserve"> the simultaneous loss of the Sheffield to George Town 220 kV lines as a credible contingency</w:t>
      </w:r>
      <w:r>
        <w:rPr>
          <w:lang w:eastAsia="en-AU"/>
        </w:rPr>
        <w:t xml:space="preserve">, due to </w:t>
      </w:r>
      <w:r w:rsidR="00470218" w:rsidRPr="00470218">
        <w:rPr>
          <w:lang w:eastAsia="en-AU"/>
        </w:rPr>
        <w:t>lightning</w:t>
      </w:r>
      <w:r>
        <w:rPr>
          <w:lang w:eastAsia="en-AU"/>
        </w:rPr>
        <w:t xml:space="preserve">, and invoked a constraint. This constraint affects all generation in Tasmania except for generation </w:t>
      </w:r>
      <w:r w:rsidR="000230E3">
        <w:rPr>
          <w:lang w:eastAsia="en-AU"/>
        </w:rPr>
        <w:t>at</w:t>
      </w:r>
      <w:r>
        <w:rPr>
          <w:lang w:eastAsia="en-AU"/>
        </w:rPr>
        <w:t xml:space="preserve"> Tamar Valley </w:t>
      </w:r>
      <w:r w:rsidR="000622F1">
        <w:rPr>
          <w:lang w:eastAsia="en-AU"/>
        </w:rPr>
        <w:t>(which was offline).</w:t>
      </w:r>
    </w:p>
    <w:p w:rsidR="00470218" w:rsidRPr="00470218" w:rsidRDefault="000622F1" w:rsidP="00C07ABE">
      <w:pPr>
        <w:pStyle w:val="AERbodytext"/>
        <w:rPr>
          <w:lang w:eastAsia="en-AU"/>
        </w:rPr>
      </w:pPr>
      <w:r>
        <w:rPr>
          <w:lang w:eastAsia="en-AU"/>
        </w:rPr>
        <w:t xml:space="preserve">Between 9.35 pm and 9.40 pm </w:t>
      </w:r>
      <w:r w:rsidR="00470218" w:rsidRPr="00470218">
        <w:rPr>
          <w:lang w:eastAsia="en-AU"/>
        </w:rPr>
        <w:t xml:space="preserve">the constraint reduced </w:t>
      </w:r>
      <w:r w:rsidR="004674B4">
        <w:rPr>
          <w:lang w:eastAsia="en-AU"/>
        </w:rPr>
        <w:t xml:space="preserve">Tasmanian </w:t>
      </w:r>
      <w:r w:rsidR="00470218" w:rsidRPr="00470218">
        <w:rPr>
          <w:lang w:eastAsia="en-AU"/>
        </w:rPr>
        <w:t xml:space="preserve">generation </w:t>
      </w:r>
      <w:r w:rsidR="002E7126">
        <w:rPr>
          <w:lang w:eastAsia="en-AU"/>
        </w:rPr>
        <w:t>by</w:t>
      </w:r>
      <w:r w:rsidR="00470218" w:rsidRPr="00470218">
        <w:rPr>
          <w:lang w:eastAsia="en-AU"/>
        </w:rPr>
        <w:t xml:space="preserve"> around 330 MW</w:t>
      </w:r>
      <w:r>
        <w:rPr>
          <w:lang w:eastAsia="en-AU"/>
        </w:rPr>
        <w:t xml:space="preserve"> but t</w:t>
      </w:r>
      <w:r w:rsidR="00470218" w:rsidRPr="00470218">
        <w:rPr>
          <w:lang w:eastAsia="en-AU"/>
        </w:rPr>
        <w:t>he changes were insufficient to meet the constraint requirements, resulting in the constraint violating for two dispatch intervals from 9.35 pm</w:t>
      </w:r>
      <w:r w:rsidR="000D6338">
        <w:rPr>
          <w:lang w:eastAsia="en-AU"/>
        </w:rPr>
        <w:t xml:space="preserve">. The reduction in generation led to flows on </w:t>
      </w:r>
      <w:proofErr w:type="spellStart"/>
      <w:r w:rsidR="00FF17B4">
        <w:rPr>
          <w:lang w:eastAsia="en-AU"/>
        </w:rPr>
        <w:t>B</w:t>
      </w:r>
      <w:r w:rsidR="000D6338">
        <w:rPr>
          <w:lang w:eastAsia="en-AU"/>
        </w:rPr>
        <w:t>asslink</w:t>
      </w:r>
      <w:proofErr w:type="spellEnd"/>
      <w:r w:rsidR="000D6338">
        <w:rPr>
          <w:lang w:eastAsia="en-AU"/>
        </w:rPr>
        <w:t xml:space="preserve"> changing from exports to Victoria to impo</w:t>
      </w:r>
      <w:r w:rsidR="00FF17B4">
        <w:rPr>
          <w:lang w:eastAsia="en-AU"/>
        </w:rPr>
        <w:t>r</w:t>
      </w:r>
      <w:r w:rsidR="000D6338">
        <w:rPr>
          <w:lang w:eastAsia="en-AU"/>
        </w:rPr>
        <w:t>ts into Tas</w:t>
      </w:r>
      <w:r w:rsidR="00FF17B4">
        <w:rPr>
          <w:lang w:eastAsia="en-AU"/>
        </w:rPr>
        <w:t>mania</w:t>
      </w:r>
      <w:r w:rsidR="000D6338">
        <w:rPr>
          <w:lang w:eastAsia="en-AU"/>
        </w:rPr>
        <w:t>, crossing the no go-zone at 9.40</w:t>
      </w:r>
      <w:r w:rsidR="00FF17B4">
        <w:rPr>
          <w:lang w:eastAsia="en-AU"/>
        </w:rPr>
        <w:t> </w:t>
      </w:r>
      <w:r w:rsidR="000D6338">
        <w:rPr>
          <w:lang w:eastAsia="en-AU"/>
        </w:rPr>
        <w:t>pm. As a result</w:t>
      </w:r>
      <w:r w:rsidR="00AB0E4E">
        <w:rPr>
          <w:lang w:eastAsia="en-AU"/>
        </w:rPr>
        <w:t xml:space="preserve"> </w:t>
      </w:r>
      <w:r w:rsidR="00470218" w:rsidRPr="00470218">
        <w:rPr>
          <w:lang w:eastAsia="en-AU"/>
        </w:rPr>
        <w:t xml:space="preserve">the </w:t>
      </w:r>
      <w:r w:rsidR="004A5EF2">
        <w:rPr>
          <w:lang w:eastAsia="en-AU"/>
        </w:rPr>
        <w:t xml:space="preserve">5 minute </w:t>
      </w:r>
      <w:r w:rsidR="00470218" w:rsidRPr="00470218">
        <w:rPr>
          <w:lang w:eastAsia="en-AU"/>
        </w:rPr>
        <w:t xml:space="preserve">price </w:t>
      </w:r>
      <w:r w:rsidR="004A5EF2">
        <w:rPr>
          <w:lang w:eastAsia="en-AU"/>
        </w:rPr>
        <w:t>reach</w:t>
      </w:r>
      <w:r w:rsidR="000D6338">
        <w:rPr>
          <w:lang w:eastAsia="en-AU"/>
        </w:rPr>
        <w:t>ed</w:t>
      </w:r>
      <w:r w:rsidR="00470218" w:rsidRPr="00470218">
        <w:rPr>
          <w:lang w:eastAsia="en-AU"/>
        </w:rPr>
        <w:t xml:space="preserve"> </w:t>
      </w:r>
      <w:r w:rsidR="000230E3">
        <w:rPr>
          <w:lang w:eastAsia="en-AU"/>
        </w:rPr>
        <w:t xml:space="preserve">$832/MWh at 9.35 pm and </w:t>
      </w:r>
      <w:r w:rsidR="00470218" w:rsidRPr="00470218">
        <w:rPr>
          <w:lang w:eastAsia="en-AU"/>
        </w:rPr>
        <w:t>the cap at 9.40 pm.</w:t>
      </w:r>
    </w:p>
    <w:p w:rsidR="00470218" w:rsidRPr="00470218" w:rsidRDefault="004A5EF2" w:rsidP="00C07ABE">
      <w:pPr>
        <w:pStyle w:val="AERbodytext"/>
        <w:rPr>
          <w:lang w:eastAsia="en-AU"/>
        </w:rPr>
      </w:pPr>
      <w:r>
        <w:rPr>
          <w:lang w:eastAsia="en-AU"/>
        </w:rPr>
        <w:t xml:space="preserve">Prices returned to previous levels at 9.45 am when </w:t>
      </w:r>
      <w:proofErr w:type="spellStart"/>
      <w:r>
        <w:rPr>
          <w:lang w:eastAsia="en-AU"/>
        </w:rPr>
        <w:t>Basslink</w:t>
      </w:r>
      <w:proofErr w:type="spellEnd"/>
      <w:r>
        <w:rPr>
          <w:lang w:eastAsia="en-AU"/>
        </w:rPr>
        <w:t xml:space="preserve"> </w:t>
      </w:r>
      <w:r w:rsidR="000D6338">
        <w:rPr>
          <w:lang w:eastAsia="en-AU"/>
        </w:rPr>
        <w:t xml:space="preserve">was able to </w:t>
      </w:r>
      <w:r>
        <w:rPr>
          <w:lang w:eastAsia="en-AU"/>
        </w:rPr>
        <w:t>import into Tasmania and an apparent 102 MW demand side response from an industrial load.</w:t>
      </w:r>
    </w:p>
    <w:p w:rsidR="004A5EF2" w:rsidRDefault="00470218" w:rsidP="00C07ABE">
      <w:pPr>
        <w:pStyle w:val="AERbodytext"/>
        <w:rPr>
          <w:lang w:eastAsia="en-AU"/>
        </w:rPr>
      </w:pPr>
      <w:r w:rsidRPr="00470218">
        <w:rPr>
          <w:lang w:eastAsia="en-AU"/>
        </w:rPr>
        <w:t xml:space="preserve">Further lightning saw the constraint re-invoked from 11.25 pm, again resulting in a number of generating units having their output reduced </w:t>
      </w:r>
      <w:r w:rsidR="00A217B5">
        <w:rPr>
          <w:lang w:eastAsia="en-AU"/>
        </w:rPr>
        <w:t>(</w:t>
      </w:r>
      <w:r w:rsidRPr="00470218">
        <w:rPr>
          <w:lang w:eastAsia="en-AU"/>
        </w:rPr>
        <w:t>by up to 285 MW from 11.30 pm</w:t>
      </w:r>
      <w:r w:rsidR="00A217B5">
        <w:rPr>
          <w:lang w:eastAsia="en-AU"/>
        </w:rPr>
        <w:t>)</w:t>
      </w:r>
      <w:r w:rsidR="00A217B5" w:rsidRPr="00D7260E">
        <w:t xml:space="preserve">. There was also a reduction in exports to Victoria </w:t>
      </w:r>
      <w:r w:rsidR="00AB0E4E">
        <w:t>to 74 MW (</w:t>
      </w:r>
      <w:r w:rsidR="001C2729">
        <w:t xml:space="preserve">Basslink </w:t>
      </w:r>
      <w:r w:rsidR="00AB0E4E">
        <w:t xml:space="preserve">couldn’t </w:t>
      </w:r>
      <w:r w:rsidR="001C2729">
        <w:t>reduce</w:t>
      </w:r>
      <w:r w:rsidR="00AB0E4E">
        <w:t xml:space="preserve"> further becaus</w:t>
      </w:r>
      <w:r w:rsidR="001C2729">
        <w:t>e</w:t>
      </w:r>
      <w:r w:rsidR="00AB0E4E">
        <w:t xml:space="preserve"> it would enter the no-go zone) </w:t>
      </w:r>
      <w:r w:rsidR="00A217B5" w:rsidRPr="00D7260E">
        <w:t>b</w:t>
      </w:r>
      <w:r w:rsidR="00A217B5">
        <w:rPr>
          <w:lang w:eastAsia="en-AU"/>
        </w:rPr>
        <w:t>ut t</w:t>
      </w:r>
      <w:r w:rsidR="00A217B5" w:rsidRPr="00470218">
        <w:rPr>
          <w:lang w:eastAsia="en-AU"/>
        </w:rPr>
        <w:t xml:space="preserve">he changes were insufficient to meet the constraint requirements, resulting in the constraint violating </w:t>
      </w:r>
      <w:r w:rsidR="00A217B5">
        <w:rPr>
          <w:lang w:eastAsia="en-AU"/>
        </w:rPr>
        <w:t>and</w:t>
      </w:r>
      <w:r w:rsidRPr="00470218">
        <w:rPr>
          <w:lang w:eastAsia="en-AU"/>
        </w:rPr>
        <w:t xml:space="preserve"> the price reaching the cap </w:t>
      </w:r>
      <w:r w:rsidR="00A217B5">
        <w:rPr>
          <w:lang w:eastAsia="en-AU"/>
        </w:rPr>
        <w:t>at 11.30 pm</w:t>
      </w:r>
      <w:r w:rsidRPr="00470218">
        <w:rPr>
          <w:lang w:eastAsia="en-AU"/>
        </w:rPr>
        <w:t>.</w:t>
      </w:r>
    </w:p>
    <w:p w:rsidR="00470218" w:rsidRPr="00C07ABE" w:rsidRDefault="00470218" w:rsidP="00C07ABE">
      <w:pPr>
        <w:pStyle w:val="AERbodytext"/>
        <w:rPr>
          <w:lang w:eastAsia="en-AU"/>
        </w:rPr>
      </w:pPr>
      <w:r w:rsidRPr="00C07ABE">
        <w:rPr>
          <w:lang w:eastAsia="en-AU"/>
        </w:rPr>
        <w:t>There was no significant rebidding.</w:t>
      </w:r>
    </w:p>
    <w:p w:rsidR="00386072" w:rsidRDefault="00386072" w:rsidP="00386072">
      <w:pPr>
        <w:pStyle w:val="Heading2"/>
      </w:pPr>
      <w:r>
        <w:t>Financial markets</w:t>
      </w:r>
    </w:p>
    <w:p w:rsidR="00386072" w:rsidRDefault="00386072" w:rsidP="00386072">
      <w:pPr>
        <w:pStyle w:val="AERbodytext"/>
      </w:pPr>
      <w:r>
        <w:t xml:space="preserve">Figure </w:t>
      </w:r>
      <w:r w:rsidR="00B032DD">
        <w:t>8</w:t>
      </w:r>
      <w:r w:rsidR="00B032DD" w:rsidRPr="00181657">
        <w:t xml:space="preserve"> </w:t>
      </w:r>
      <w:r w:rsidRPr="00181657">
        <w:t xml:space="preserve">shows </w:t>
      </w:r>
      <w:r w:rsidR="004A682D">
        <w:t xml:space="preserve">for all mainland regions </w:t>
      </w:r>
      <w:r w:rsidRPr="00181657">
        <w:t xml:space="preserve">the price for base contracts </w:t>
      </w:r>
      <w:r>
        <w:t xml:space="preserve">(and </w:t>
      </w:r>
      <w:r w:rsidR="004A682D">
        <w:t xml:space="preserve">total </w:t>
      </w:r>
      <w:r>
        <w:t>trade</w:t>
      </w:r>
      <w:r w:rsidR="004A682D">
        <w:t>d quantitie</w:t>
      </w:r>
      <w:r>
        <w:t>s</w:t>
      </w:r>
      <w:r w:rsidR="00E86D73">
        <w:t xml:space="preserve"> for the week</w:t>
      </w:r>
      <w:r>
        <w:t xml:space="preserve">) </w:t>
      </w:r>
      <w:r w:rsidRPr="00181657">
        <w:t>for each quarter for the next four financial years.</w:t>
      </w:r>
      <w:r w:rsidR="0026403E">
        <w:t xml:space="preserve"> </w:t>
      </w:r>
    </w:p>
    <w:p w:rsidR="00386072" w:rsidRPr="0030575B" w:rsidRDefault="00386072" w:rsidP="00386072">
      <w:pPr>
        <w:pStyle w:val="Figureheading"/>
        <w:numPr>
          <w:ilvl w:val="0"/>
          <w:numId w:val="0"/>
        </w:numPr>
        <w:ind w:left="357" w:hanging="357"/>
      </w:pPr>
      <w:r w:rsidRPr="0030575B">
        <w:t xml:space="preserve">Figure </w:t>
      </w:r>
      <w:r w:rsidR="00B032DD" w:rsidRPr="0030575B">
        <w:t>8</w:t>
      </w:r>
      <w:r w:rsidRPr="0030575B">
        <w:t xml:space="preserve">: Quarterly base future prices </w:t>
      </w:r>
      <w:r w:rsidR="00D87E09" w:rsidRPr="0030575B">
        <w:t xml:space="preserve">Q3 2013 </w:t>
      </w:r>
      <w:r w:rsidRPr="0030575B">
        <w:t xml:space="preserve">– </w:t>
      </w:r>
      <w:r w:rsidR="00D87E09" w:rsidRPr="0030575B">
        <w:t>Q2 2017</w:t>
      </w:r>
    </w:p>
    <w:p w:rsidR="00386072" w:rsidRPr="00D70101" w:rsidRDefault="00A7204C" w:rsidP="00386072">
      <w:pPr>
        <w:pStyle w:val="AERbodytext"/>
        <w:rPr>
          <w:color w:val="FF0000"/>
        </w:rPr>
      </w:pPr>
      <w:r>
        <w:pict>
          <v:shape id="_x0000_i1034" type="#_x0000_t75" alt="Figure 8 shows for all mainland regions the prices for base contracts (and total traded quantities for the week) for each quarter for the next four financial years." style="width:452pt;height:238.5pt">
            <v:imagedata r:id="rId19" o:title=""/>
          </v:shape>
        </w:pict>
      </w:r>
    </w:p>
    <w:p w:rsidR="00386072" w:rsidRPr="008245F0" w:rsidRDefault="00386072" w:rsidP="00386072">
      <w:pPr>
        <w:pStyle w:val="Sourceandnotes"/>
      </w:pPr>
      <w:r w:rsidRPr="008245F0">
        <w:t xml:space="preserve">Source: </w:t>
      </w:r>
      <w:hyperlink r:id="rId20" w:history="1">
        <w:r w:rsidR="00F44993" w:rsidRPr="00D87E09">
          <w:rPr>
            <w:rStyle w:val="Hyperlink"/>
          </w:rPr>
          <w:t>ASXEnergy.com.au</w:t>
        </w:r>
      </w:hyperlink>
    </w:p>
    <w:p w:rsidR="00386072" w:rsidRDefault="00386072" w:rsidP="00386072">
      <w:pPr>
        <w:pStyle w:val="AERbodytext"/>
      </w:pPr>
      <w:r w:rsidRPr="00B032DD">
        <w:t xml:space="preserve">Figure </w:t>
      </w:r>
      <w:r w:rsidR="00B032DD">
        <w:t>9</w:t>
      </w:r>
      <w:r w:rsidR="00B032DD" w:rsidRPr="00233094">
        <w:t xml:space="preserve"> </w:t>
      </w:r>
      <w:r w:rsidRPr="00233094">
        <w:t xml:space="preserve">shows </w:t>
      </w:r>
      <w:r>
        <w:t xml:space="preserve">how </w:t>
      </w:r>
      <w:r w:rsidRPr="00233094">
        <w:t xml:space="preserve">the price for </w:t>
      </w:r>
      <w:r w:rsidR="00B47AF8">
        <w:t xml:space="preserve">each regional </w:t>
      </w:r>
      <w:r w:rsidRPr="00233094">
        <w:t xml:space="preserve">Quarter 1 </w:t>
      </w:r>
      <w:r>
        <w:t>201</w:t>
      </w:r>
      <w:r w:rsidR="00D70101">
        <w:t>4</w:t>
      </w:r>
      <w:r>
        <w:t xml:space="preserve"> </w:t>
      </w:r>
      <w:r w:rsidRPr="00233094">
        <w:t xml:space="preserve">base contract has changed over the last </w:t>
      </w:r>
      <w:r>
        <w:t>10</w:t>
      </w:r>
      <w:r w:rsidRPr="00233094">
        <w:t xml:space="preserve"> weeks</w:t>
      </w:r>
      <w:r>
        <w:t xml:space="preserve"> (as well as the </w:t>
      </w:r>
      <w:r w:rsidR="00B47AF8">
        <w:t xml:space="preserve">total </w:t>
      </w:r>
      <w:r>
        <w:t>number of trades</w:t>
      </w:r>
      <w:r w:rsidR="00B47AF8">
        <w:t xml:space="preserve"> each week</w:t>
      </w:r>
      <w:r>
        <w:t>)</w:t>
      </w:r>
      <w:r w:rsidRPr="00233094">
        <w:t xml:space="preserve">. The </w:t>
      </w:r>
      <w:r>
        <w:t xml:space="preserve">closing </w:t>
      </w:r>
      <w:r w:rsidR="00D6704B">
        <w:t>Q</w:t>
      </w:r>
      <w:r w:rsidR="00B47AF8">
        <w:t>uarter 1 201</w:t>
      </w:r>
      <w:r w:rsidR="008245F0">
        <w:t>2</w:t>
      </w:r>
      <w:r w:rsidR="00B47AF8">
        <w:t xml:space="preserve"> and </w:t>
      </w:r>
      <w:r w:rsidR="00D6704B">
        <w:t>Q</w:t>
      </w:r>
      <w:r w:rsidR="00B47AF8">
        <w:t>uarter 1 201</w:t>
      </w:r>
      <w:r w:rsidR="008245F0">
        <w:t>3</w:t>
      </w:r>
      <w:r w:rsidR="00B47AF8" w:rsidRPr="00233094">
        <w:t xml:space="preserve"> </w:t>
      </w:r>
      <w:r w:rsidRPr="00233094">
        <w:t>price</w:t>
      </w:r>
      <w:r w:rsidR="00B47AF8">
        <w:t>s are</w:t>
      </w:r>
      <w:r w:rsidRPr="00233094">
        <w:t xml:space="preserve"> also shown. </w:t>
      </w:r>
    </w:p>
    <w:p w:rsidR="00386072" w:rsidRPr="003C700A" w:rsidRDefault="00386072" w:rsidP="00386072">
      <w:pPr>
        <w:pStyle w:val="Figureheading"/>
        <w:numPr>
          <w:ilvl w:val="0"/>
          <w:numId w:val="0"/>
        </w:numPr>
        <w:ind w:left="357" w:hanging="357"/>
      </w:pPr>
      <w:r w:rsidRPr="003C700A">
        <w:t xml:space="preserve">Figure </w:t>
      </w:r>
      <w:r w:rsidR="00B032DD" w:rsidRPr="003C700A">
        <w:t>9</w:t>
      </w:r>
      <w:r w:rsidRPr="003C700A">
        <w:t>: Price of Q1 201</w:t>
      </w:r>
      <w:r w:rsidR="008245F0" w:rsidRPr="003C700A">
        <w:t>4</w:t>
      </w:r>
      <w:r w:rsidRPr="003C700A">
        <w:t xml:space="preserve"> base contracts over the past 10 weeks (and the past 2 years)</w:t>
      </w:r>
    </w:p>
    <w:p w:rsidR="00386072" w:rsidRPr="00D70101" w:rsidRDefault="00A7204C" w:rsidP="00386072">
      <w:pPr>
        <w:pStyle w:val="AERbodytext"/>
        <w:spacing w:after="120"/>
        <w:rPr>
          <w:color w:val="FF0000"/>
        </w:rPr>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5pt;height:225pt;mso-position-vertical:absolute">
            <v:imagedata r:id="rId21" o:title=""/>
          </v:shape>
        </w:pict>
      </w:r>
    </w:p>
    <w:p w:rsidR="00386072" w:rsidRDefault="00386072" w:rsidP="00386072">
      <w:pPr>
        <w:pStyle w:val="AERbodytext"/>
        <w:spacing w:before="120" w:after="120"/>
        <w:rPr>
          <w:sz w:val="16"/>
          <w:szCs w:val="16"/>
        </w:rPr>
      </w:pPr>
      <w:r>
        <w:rPr>
          <w:sz w:val="16"/>
          <w:szCs w:val="16"/>
        </w:rPr>
        <w:t xml:space="preserve">Note: Base contract prices are shown for each of the </w:t>
      </w:r>
      <w:r w:rsidR="00B032DD">
        <w:rPr>
          <w:sz w:val="16"/>
          <w:szCs w:val="16"/>
        </w:rPr>
        <w:t xml:space="preserve">current week and the </w:t>
      </w:r>
      <w:r>
        <w:rPr>
          <w:sz w:val="16"/>
          <w:szCs w:val="16"/>
        </w:rPr>
        <w:t xml:space="preserve">previous </w:t>
      </w:r>
      <w:r w:rsidR="00B032DD">
        <w:rPr>
          <w:sz w:val="16"/>
          <w:szCs w:val="16"/>
        </w:rPr>
        <w:t xml:space="preserve">9 </w:t>
      </w:r>
      <w:r>
        <w:rPr>
          <w:sz w:val="16"/>
          <w:szCs w:val="16"/>
        </w:rPr>
        <w:t>weeks, with average prices shown for yearly periods 1 and 2 years prior to the current year</w:t>
      </w:r>
    </w:p>
    <w:p w:rsidR="00386072" w:rsidRPr="00E2565C" w:rsidRDefault="00386072" w:rsidP="00386072">
      <w:pPr>
        <w:pStyle w:val="Sourceandnotes"/>
      </w:pPr>
      <w:r w:rsidRPr="005543BA">
        <w:t xml:space="preserve">Source: </w:t>
      </w:r>
      <w:hyperlink r:id="rId22" w:history="1">
        <w:r w:rsidR="00D87E09" w:rsidRPr="00D87E09">
          <w:rPr>
            <w:rStyle w:val="Hyperlink"/>
          </w:rPr>
          <w:t>ASXEnergy.com.au</w:t>
        </w:r>
      </w:hyperlink>
    </w:p>
    <w:p w:rsidR="00386072" w:rsidRDefault="00386072" w:rsidP="00386072">
      <w:pPr>
        <w:pStyle w:val="AERbodytext"/>
      </w:pPr>
      <w:r>
        <w:t xml:space="preserve">Prices of other financial products (including longer-term price trends) are available </w:t>
      </w:r>
      <w:r w:rsidR="00B3078D">
        <w:t xml:space="preserve">in the </w:t>
      </w:r>
      <w:hyperlink r:id="rId23" w:history="1">
        <w:r w:rsidR="00B3078D" w:rsidRPr="00EA160C">
          <w:rPr>
            <w:rStyle w:val="Hyperlink"/>
          </w:rPr>
          <w:t>Performance of the Energy Sector</w:t>
        </w:r>
      </w:hyperlink>
      <w:r w:rsidR="00B3078D">
        <w:rPr>
          <w:rStyle w:val="Hyperlink"/>
        </w:rPr>
        <w:t xml:space="preserve"> </w:t>
      </w:r>
      <w:r w:rsidR="00B3078D" w:rsidRPr="00D87E09">
        <w:t>section of our website</w:t>
      </w:r>
      <w:r w:rsidR="000F1E82">
        <w:t>.</w:t>
      </w:r>
    </w:p>
    <w:p w:rsidR="00125EC8" w:rsidRDefault="005B6078">
      <w:pPr>
        <w:pStyle w:val="AERbodytext"/>
      </w:pPr>
      <w:r w:rsidRPr="00F44993">
        <w:t xml:space="preserve">Figure </w:t>
      </w:r>
      <w:r w:rsidR="00B032DD" w:rsidRPr="00F44993">
        <w:t>10</w:t>
      </w:r>
      <w:r w:rsidR="00B032DD" w:rsidRPr="005B6078">
        <w:t xml:space="preserve"> </w:t>
      </w:r>
      <w:r w:rsidRPr="005B6078">
        <w:t>shows how the price for each regional Quarter 1 201</w:t>
      </w:r>
      <w:r w:rsidR="00D70101">
        <w:t>4</w:t>
      </w:r>
      <w:r w:rsidRPr="005B6078">
        <w:t xml:space="preserve"> cap contract has changed over the last 10 weeks (as well as the total number of trades each week). The </w:t>
      </w:r>
      <w:r w:rsidRPr="008245F0">
        <w:t xml:space="preserve">closing </w:t>
      </w:r>
      <w:r w:rsidR="00D6704B">
        <w:t>Q</w:t>
      </w:r>
      <w:r w:rsidRPr="008245F0">
        <w:t>uarter 1 201</w:t>
      </w:r>
      <w:r w:rsidR="008245F0" w:rsidRPr="008245F0">
        <w:t>2</w:t>
      </w:r>
      <w:r w:rsidRPr="008245F0">
        <w:t xml:space="preserve"> and </w:t>
      </w:r>
      <w:r w:rsidR="00D6704B">
        <w:t>Q</w:t>
      </w:r>
      <w:r w:rsidRPr="008245F0">
        <w:t>uarter 1 201</w:t>
      </w:r>
      <w:r w:rsidR="008245F0" w:rsidRPr="008245F0">
        <w:t>3</w:t>
      </w:r>
      <w:r w:rsidRPr="008245F0">
        <w:t xml:space="preserve">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053909" w:rsidRPr="003C700A" w:rsidRDefault="00130EA0">
      <w:pPr>
        <w:pStyle w:val="Figureheading"/>
        <w:numPr>
          <w:ilvl w:val="0"/>
          <w:numId w:val="0"/>
        </w:numPr>
        <w:ind w:left="357" w:hanging="357"/>
      </w:pPr>
      <w:r w:rsidRPr="003C700A">
        <w:t xml:space="preserve">Figure </w:t>
      </w:r>
      <w:r w:rsidR="00B032DD" w:rsidRPr="003C700A">
        <w:t>10</w:t>
      </w:r>
      <w:r w:rsidR="005B6078" w:rsidRPr="003C700A">
        <w:t>: Price of Q1 201</w:t>
      </w:r>
      <w:r w:rsidR="008245F0" w:rsidRPr="003C700A">
        <w:t>4</w:t>
      </w:r>
      <w:r w:rsidR="005B6078" w:rsidRPr="003C700A">
        <w:t xml:space="preserve"> cap contracts over the past 10 weeks (and the past 2 years)</w:t>
      </w:r>
    </w:p>
    <w:p w:rsidR="00130EA0" w:rsidRDefault="00A7204C" w:rsidP="00130EA0">
      <w:pPr>
        <w:pStyle w:val="AERbodytext"/>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 style="width:452pt;height:225pt">
            <v:imagedata r:id="rId24" o:title=""/>
          </v:shape>
        </w:pict>
      </w:r>
    </w:p>
    <w:p w:rsidR="00AA4A16" w:rsidRPr="00130EA0" w:rsidRDefault="00AA4A16" w:rsidP="00021E37">
      <w:pPr>
        <w:pStyle w:val="Sourceandnotes"/>
      </w:pPr>
      <w:r w:rsidRPr="005543BA">
        <w:t>Source</w:t>
      </w:r>
      <w:r w:rsidR="00095C39">
        <w:t xml:space="preserve">: </w:t>
      </w:r>
      <w:hyperlink r:id="rId25" w:history="1">
        <w:r w:rsidR="00534A4A" w:rsidRPr="00D87E09">
          <w:rPr>
            <w:rStyle w:val="Hyperlink"/>
          </w:rPr>
          <w:t>ASXEnergy.com.au</w:t>
        </w:r>
      </w:hyperlink>
    </w:p>
    <w:bookmarkEnd w:id="0"/>
    <w:bookmarkEnd w:id="1"/>
    <w:bookmarkEnd w:id="2"/>
    <w:bookmarkEnd w:id="3"/>
    <w:bookmarkEnd w:id="4"/>
    <w:bookmarkEnd w:id="5"/>
    <w:p w:rsidR="00977DC4" w:rsidRDefault="006F3EC4" w:rsidP="00021E37">
      <w:pPr>
        <w:pStyle w:val="AERbodytext"/>
        <w:keepNext/>
        <w:spacing w:after="120" w:line="240" w:lineRule="auto"/>
        <w:jc w:val="left"/>
        <w:rPr>
          <w:b/>
        </w:rPr>
      </w:pPr>
      <w:r w:rsidRPr="00181657">
        <w:rPr>
          <w:b/>
        </w:rPr>
        <w:t>Australian Energy Regulator</w:t>
      </w:r>
    </w:p>
    <w:p w:rsidR="00B027E9" w:rsidRDefault="00534A4A" w:rsidP="00021E37">
      <w:r>
        <w:rPr>
          <w:b/>
        </w:rPr>
        <w:t>August</w:t>
      </w:r>
      <w:r w:rsidRPr="005F739F">
        <w:rPr>
          <w:b/>
        </w:rPr>
        <w:t xml:space="preserve"> </w:t>
      </w:r>
      <w:r w:rsidR="006F3EC4" w:rsidRPr="005F739F">
        <w:rPr>
          <w:b/>
        </w:rPr>
        <w:t>201</w:t>
      </w:r>
      <w:r w:rsidR="00D70101">
        <w:rPr>
          <w:b/>
        </w:rPr>
        <w:t>3</w:t>
      </w:r>
    </w:p>
    <w:sectPr w:rsidR="00B027E9" w:rsidSect="005F0478">
      <w:footerReference w:type="default" r:id="rId26"/>
      <w:footerReference w:type="first" r:id="rId27"/>
      <w:type w:val="continuous"/>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1A" w:rsidRDefault="008E121A" w:rsidP="00BB640B">
      <w:r>
        <w:separator/>
      </w:r>
    </w:p>
    <w:p w:rsidR="008E121A" w:rsidRDefault="008E121A"/>
    <w:p w:rsidR="008E121A" w:rsidRDefault="008E121A"/>
  </w:endnote>
  <w:endnote w:type="continuationSeparator" w:id="0">
    <w:p w:rsidR="008E121A" w:rsidRDefault="008E121A" w:rsidP="00BB640B">
      <w:r>
        <w:continuationSeparator/>
      </w:r>
    </w:p>
    <w:p w:rsidR="008E121A" w:rsidRDefault="008E121A"/>
    <w:p w:rsidR="008E121A" w:rsidRDefault="008E1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1A" w:rsidRPr="00474107" w:rsidRDefault="008E121A"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153462">
      <w:rPr>
        <w:rStyle w:val="PageNumber"/>
        <w:noProof/>
      </w:rPr>
      <w:t>9</w:t>
    </w:r>
    <w:r>
      <w:rPr>
        <w:rStyle w:val="PageNumber"/>
      </w:rPr>
      <w:fldChar w:fldCharType="end"/>
    </w:r>
  </w:p>
  <w:p w:rsidR="008E121A" w:rsidRPr="0097256D" w:rsidRDefault="008E121A"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1A" w:rsidRPr="00643F62" w:rsidRDefault="008E121A"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643F62">
      <w:rPr>
        <w:i/>
      </w:rPr>
      <w:t>D13/106893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1A" w:rsidRDefault="008E121A" w:rsidP="00BB640B">
      <w:r>
        <w:separator/>
      </w:r>
    </w:p>
    <w:p w:rsidR="008E121A" w:rsidRPr="00DB6729" w:rsidRDefault="008E121A">
      <w:pPr>
        <w:rPr>
          <w:b/>
          <w:sz w:val="2"/>
        </w:rPr>
      </w:pPr>
    </w:p>
  </w:footnote>
  <w:footnote w:type="continuationSeparator" w:id="0">
    <w:p w:rsidR="008E121A" w:rsidRDefault="008E121A" w:rsidP="00BB640B">
      <w:r>
        <w:continuationSeparator/>
      </w:r>
    </w:p>
    <w:p w:rsidR="008E121A" w:rsidRDefault="008E12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 w:numId="4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0714-20130720 electricity weekly - accessible format.DOCX"/>
  </w:docVars>
  <w:rsids>
    <w:rsidRoot w:val="00F75FBD"/>
    <w:rsid w:val="00000080"/>
    <w:rsid w:val="000008B3"/>
    <w:rsid w:val="00000E09"/>
    <w:rsid w:val="000014D2"/>
    <w:rsid w:val="000018CD"/>
    <w:rsid w:val="0000194E"/>
    <w:rsid w:val="000020FB"/>
    <w:rsid w:val="00002445"/>
    <w:rsid w:val="0000263B"/>
    <w:rsid w:val="00002829"/>
    <w:rsid w:val="00002A76"/>
    <w:rsid w:val="00003522"/>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751"/>
    <w:rsid w:val="00011913"/>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981"/>
    <w:rsid w:val="00043CB9"/>
    <w:rsid w:val="00044126"/>
    <w:rsid w:val="00044279"/>
    <w:rsid w:val="00044445"/>
    <w:rsid w:val="00044949"/>
    <w:rsid w:val="00044A13"/>
    <w:rsid w:val="00044DAB"/>
    <w:rsid w:val="0004540E"/>
    <w:rsid w:val="000455A3"/>
    <w:rsid w:val="00045772"/>
    <w:rsid w:val="00045A65"/>
    <w:rsid w:val="00045BEA"/>
    <w:rsid w:val="00045D9F"/>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82E"/>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35"/>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2FAD"/>
    <w:rsid w:val="001131A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462"/>
    <w:rsid w:val="00153655"/>
    <w:rsid w:val="00153EE5"/>
    <w:rsid w:val="00154192"/>
    <w:rsid w:val="00154FE1"/>
    <w:rsid w:val="0015597D"/>
    <w:rsid w:val="00155A20"/>
    <w:rsid w:val="00155B20"/>
    <w:rsid w:val="00155B70"/>
    <w:rsid w:val="00155CDE"/>
    <w:rsid w:val="00155D6E"/>
    <w:rsid w:val="00156276"/>
    <w:rsid w:val="0015629C"/>
    <w:rsid w:val="00156896"/>
    <w:rsid w:val="00156CCE"/>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3BE"/>
    <w:rsid w:val="001706C1"/>
    <w:rsid w:val="00170C56"/>
    <w:rsid w:val="00170CA6"/>
    <w:rsid w:val="00170CDF"/>
    <w:rsid w:val="00170D58"/>
    <w:rsid w:val="00171759"/>
    <w:rsid w:val="0017185E"/>
    <w:rsid w:val="001719F2"/>
    <w:rsid w:val="00171AA3"/>
    <w:rsid w:val="00171AA4"/>
    <w:rsid w:val="00171E3B"/>
    <w:rsid w:val="00171E6C"/>
    <w:rsid w:val="00172054"/>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47"/>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E4B"/>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9E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729"/>
    <w:rsid w:val="001C2BEF"/>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D01A9"/>
    <w:rsid w:val="001D0336"/>
    <w:rsid w:val="001D044C"/>
    <w:rsid w:val="001D067E"/>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D791B"/>
    <w:rsid w:val="001E002A"/>
    <w:rsid w:val="001E13D4"/>
    <w:rsid w:val="001E1779"/>
    <w:rsid w:val="001E1AD5"/>
    <w:rsid w:val="001E22C1"/>
    <w:rsid w:val="001E26E6"/>
    <w:rsid w:val="001E2F79"/>
    <w:rsid w:val="001E3001"/>
    <w:rsid w:val="001E3272"/>
    <w:rsid w:val="001E3552"/>
    <w:rsid w:val="001E39E4"/>
    <w:rsid w:val="001E4030"/>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12B"/>
    <w:rsid w:val="00213289"/>
    <w:rsid w:val="002133F3"/>
    <w:rsid w:val="002137C5"/>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8C"/>
    <w:rsid w:val="002324B5"/>
    <w:rsid w:val="002327AA"/>
    <w:rsid w:val="002329A3"/>
    <w:rsid w:val="00232D66"/>
    <w:rsid w:val="00233094"/>
    <w:rsid w:val="002330C0"/>
    <w:rsid w:val="002332D6"/>
    <w:rsid w:val="00233614"/>
    <w:rsid w:val="00233708"/>
    <w:rsid w:val="0023473B"/>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56B"/>
    <w:rsid w:val="00315635"/>
    <w:rsid w:val="003156E0"/>
    <w:rsid w:val="003158F0"/>
    <w:rsid w:val="00315A5F"/>
    <w:rsid w:val="00315C27"/>
    <w:rsid w:val="00316011"/>
    <w:rsid w:val="0031620E"/>
    <w:rsid w:val="00316234"/>
    <w:rsid w:val="003167FE"/>
    <w:rsid w:val="00316C93"/>
    <w:rsid w:val="00316D24"/>
    <w:rsid w:val="00317148"/>
    <w:rsid w:val="00317D28"/>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935"/>
    <w:rsid w:val="003F5141"/>
    <w:rsid w:val="003F54BD"/>
    <w:rsid w:val="003F6B22"/>
    <w:rsid w:val="003F6DCC"/>
    <w:rsid w:val="003F6F89"/>
    <w:rsid w:val="003F7A98"/>
    <w:rsid w:val="004001E0"/>
    <w:rsid w:val="0040025D"/>
    <w:rsid w:val="00400265"/>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3F93"/>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441B"/>
    <w:rsid w:val="004246B9"/>
    <w:rsid w:val="00424896"/>
    <w:rsid w:val="0042492B"/>
    <w:rsid w:val="00424CFF"/>
    <w:rsid w:val="00425483"/>
    <w:rsid w:val="0042552A"/>
    <w:rsid w:val="00425852"/>
    <w:rsid w:val="0042613F"/>
    <w:rsid w:val="00426883"/>
    <w:rsid w:val="00426E99"/>
    <w:rsid w:val="00426F74"/>
    <w:rsid w:val="00427131"/>
    <w:rsid w:val="00427377"/>
    <w:rsid w:val="00427C0C"/>
    <w:rsid w:val="00427D21"/>
    <w:rsid w:val="00427E15"/>
    <w:rsid w:val="00430216"/>
    <w:rsid w:val="004306BA"/>
    <w:rsid w:val="00430AE4"/>
    <w:rsid w:val="00430D2A"/>
    <w:rsid w:val="00430FD9"/>
    <w:rsid w:val="00431031"/>
    <w:rsid w:val="00431594"/>
    <w:rsid w:val="004316DF"/>
    <w:rsid w:val="004318B3"/>
    <w:rsid w:val="00431A0D"/>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1277"/>
    <w:rsid w:val="00491753"/>
    <w:rsid w:val="004917B0"/>
    <w:rsid w:val="004917E6"/>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B15"/>
    <w:rsid w:val="004B6380"/>
    <w:rsid w:val="004B642C"/>
    <w:rsid w:val="004B6834"/>
    <w:rsid w:val="004B6BD7"/>
    <w:rsid w:val="004B7C02"/>
    <w:rsid w:val="004B7F2A"/>
    <w:rsid w:val="004C0152"/>
    <w:rsid w:val="004C023A"/>
    <w:rsid w:val="004C0AB0"/>
    <w:rsid w:val="004C0C0B"/>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0E2A"/>
    <w:rsid w:val="004F1335"/>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868"/>
    <w:rsid w:val="00621DB2"/>
    <w:rsid w:val="00621E78"/>
    <w:rsid w:val="0062233E"/>
    <w:rsid w:val="00622558"/>
    <w:rsid w:val="0062264F"/>
    <w:rsid w:val="00622DE0"/>
    <w:rsid w:val="00623469"/>
    <w:rsid w:val="0062348B"/>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A00CF"/>
    <w:rsid w:val="006A0835"/>
    <w:rsid w:val="006A0B86"/>
    <w:rsid w:val="006A0D68"/>
    <w:rsid w:val="006A0FB3"/>
    <w:rsid w:val="006A129B"/>
    <w:rsid w:val="006A17DB"/>
    <w:rsid w:val="006A2C0A"/>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7075"/>
    <w:rsid w:val="006D78C5"/>
    <w:rsid w:val="006D7A4C"/>
    <w:rsid w:val="006E091D"/>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21A"/>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8E9"/>
    <w:rsid w:val="00925BEF"/>
    <w:rsid w:val="00925F5F"/>
    <w:rsid w:val="00926225"/>
    <w:rsid w:val="009266DC"/>
    <w:rsid w:val="00926929"/>
    <w:rsid w:val="00926B3D"/>
    <w:rsid w:val="00926F78"/>
    <w:rsid w:val="00927080"/>
    <w:rsid w:val="00927791"/>
    <w:rsid w:val="00927940"/>
    <w:rsid w:val="00927FC8"/>
    <w:rsid w:val="00930B8F"/>
    <w:rsid w:val="00930E68"/>
    <w:rsid w:val="00930EF9"/>
    <w:rsid w:val="009315CB"/>
    <w:rsid w:val="0093160E"/>
    <w:rsid w:val="00931620"/>
    <w:rsid w:val="00931C44"/>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392"/>
    <w:rsid w:val="00934640"/>
    <w:rsid w:val="0093496D"/>
    <w:rsid w:val="00934D53"/>
    <w:rsid w:val="009350BB"/>
    <w:rsid w:val="00935225"/>
    <w:rsid w:val="009354B1"/>
    <w:rsid w:val="00935751"/>
    <w:rsid w:val="00935829"/>
    <w:rsid w:val="00935C4D"/>
    <w:rsid w:val="00935D76"/>
    <w:rsid w:val="0093618F"/>
    <w:rsid w:val="0093634A"/>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2E5"/>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73D"/>
    <w:rsid w:val="00990D95"/>
    <w:rsid w:val="00990F33"/>
    <w:rsid w:val="009917BD"/>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04C"/>
    <w:rsid w:val="00A72438"/>
    <w:rsid w:val="00A72849"/>
    <w:rsid w:val="00A731A9"/>
    <w:rsid w:val="00A73376"/>
    <w:rsid w:val="00A738B7"/>
    <w:rsid w:val="00A73B77"/>
    <w:rsid w:val="00A73C25"/>
    <w:rsid w:val="00A74056"/>
    <w:rsid w:val="00A74313"/>
    <w:rsid w:val="00A74928"/>
    <w:rsid w:val="00A7498E"/>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6BC"/>
    <w:rsid w:val="00AD3EC7"/>
    <w:rsid w:val="00AD4046"/>
    <w:rsid w:val="00AD456A"/>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A02"/>
    <w:rsid w:val="00AF2C32"/>
    <w:rsid w:val="00AF33F8"/>
    <w:rsid w:val="00AF3AD6"/>
    <w:rsid w:val="00AF3CA1"/>
    <w:rsid w:val="00AF3DF0"/>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C1D"/>
    <w:rsid w:val="00B020B7"/>
    <w:rsid w:val="00B02217"/>
    <w:rsid w:val="00B026FA"/>
    <w:rsid w:val="00B0273F"/>
    <w:rsid w:val="00B027E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A27"/>
    <w:rsid w:val="00C52BE5"/>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4E01"/>
    <w:rsid w:val="00CA534D"/>
    <w:rsid w:val="00CA53CF"/>
    <w:rsid w:val="00CA5CDA"/>
    <w:rsid w:val="00CA5D86"/>
    <w:rsid w:val="00CA603C"/>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D51"/>
    <w:rsid w:val="00CF67B7"/>
    <w:rsid w:val="00CF6AA0"/>
    <w:rsid w:val="00CF6F7C"/>
    <w:rsid w:val="00CF774E"/>
    <w:rsid w:val="00CF7816"/>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54D"/>
    <w:rsid w:val="00D51777"/>
    <w:rsid w:val="00D51812"/>
    <w:rsid w:val="00D52DBF"/>
    <w:rsid w:val="00D52EF1"/>
    <w:rsid w:val="00D53187"/>
    <w:rsid w:val="00D536FF"/>
    <w:rsid w:val="00D5379C"/>
    <w:rsid w:val="00D53B96"/>
    <w:rsid w:val="00D53F89"/>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60E"/>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7B3"/>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1F76"/>
    <w:rsid w:val="00D9206C"/>
    <w:rsid w:val="00D92617"/>
    <w:rsid w:val="00D92620"/>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20E"/>
    <w:rsid w:val="00E94361"/>
    <w:rsid w:val="00E94505"/>
    <w:rsid w:val="00E9452E"/>
    <w:rsid w:val="00E94BFD"/>
    <w:rsid w:val="00E960F5"/>
    <w:rsid w:val="00E9682A"/>
    <w:rsid w:val="00E968C9"/>
    <w:rsid w:val="00E96A5B"/>
    <w:rsid w:val="00E96B53"/>
    <w:rsid w:val="00E970B3"/>
    <w:rsid w:val="00E971C5"/>
    <w:rsid w:val="00E97A66"/>
    <w:rsid w:val="00E97C5B"/>
    <w:rsid w:val="00EA01BB"/>
    <w:rsid w:val="00EA04E2"/>
    <w:rsid w:val="00EA06A2"/>
    <w:rsid w:val="00EA0C0E"/>
    <w:rsid w:val="00EA0E6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C7DA8"/>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4BB"/>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7B4"/>
    <w:rsid w:val="00FF1C20"/>
    <w:rsid w:val="00FF22FB"/>
    <w:rsid w:val="00FF23D5"/>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rules v:ext="edit">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Listbullet1Char">
    <w:name w:val="List bullet 1 Char"/>
    <w:link w:val="Listbullet1"/>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link w:val="Heading8"/>
    <w:rsid w:val="00CF67B7"/>
    <w:rPr>
      <w:rFonts w:ascii="Gautami" w:eastAsia="Times New Roman" w:hAnsi="Gautami"/>
      <w:b/>
      <w:bCs/>
      <w:iCs/>
      <w:color w:val="E36C0A"/>
      <w:sz w:val="28"/>
      <w:lang w:eastAsia="en-US"/>
    </w:rPr>
  </w:style>
  <w:style w:type="character" w:customStyle="1" w:styleId="Heading9Char">
    <w:name w:val="Heading 9 Char"/>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sz w:val="36"/>
      <w:lang w:eastAsia="en-US"/>
    </w:rPr>
  </w:style>
  <w:style w:type="character" w:customStyle="1" w:styleId="FooterChar">
    <w:name w:val="Footer Char"/>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link w:val="AERHeading1new"/>
    <w:rsid w:val="005F739F"/>
    <w:rPr>
      <w:rFonts w:ascii="Gautami" w:eastAsia="Times New Roman" w:hAnsi="Gautami"/>
      <w:b/>
      <w:bCs/>
      <w:color w:val="4A442A"/>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link w:val="Heading2"/>
    <w:rsid w:val="00BD4E2C"/>
    <w:rPr>
      <w:rFonts w:ascii="Gautami" w:eastAsia="Times New Roman" w:hAnsi="Gautami" w:cs="Arial"/>
      <w:b/>
      <w:bCs/>
      <w:iCs/>
      <w:color w:val="4A442A"/>
      <w:sz w:val="28"/>
      <w:szCs w:val="28"/>
    </w:rPr>
  </w:style>
  <w:style w:type="character" w:customStyle="1" w:styleId="HeaderChar">
    <w:name w:val="Header Char"/>
    <w:link w:val="Header"/>
    <w:uiPriority w:val="99"/>
    <w:rsid w:val="00F83806"/>
    <w:rPr>
      <w:rFonts w:ascii="Gautami" w:eastAsia="Times New Roman" w:hAnsi="Gautami"/>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uiPriority w:val="32"/>
    <w:rsid w:val="005F739F"/>
    <w:rPr>
      <w:b/>
      <w:bCs/>
      <w:smallCaps/>
      <w:color w:val="C0504D"/>
      <w:spacing w:val="5"/>
      <w:u w:val="single"/>
    </w:rPr>
  </w:style>
  <w:style w:type="character" w:styleId="SubtleReference">
    <w:name w:val="Subtle Reference"/>
    <w:uiPriority w:val="31"/>
    <w:rsid w:val="005F739F"/>
    <w:rPr>
      <w:smallCaps/>
      <w:color w:val="C0504D"/>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link w:val="CommentText"/>
    <w:uiPriority w:val="99"/>
    <w:rsid w:val="005D0691"/>
    <w:rPr>
      <w:rFonts w:ascii="Gautami" w:eastAsia="Times New Roman" w:hAnsi="Gautami"/>
    </w:rPr>
  </w:style>
  <w:style w:type="character" w:styleId="FollowedHyperlink">
    <w:name w:val="FollowedHyperlink"/>
    <w:semiHidden/>
    <w:unhideWhenUsed/>
    <w:locked/>
    <w:rsid w:val="00D87E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4815719">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14416717">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868519947">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28822790">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A04D3-68A7-4845-B401-0FF429A5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2013-08-06T07:25:00Z</dcterms:created>
  <dcterms:modified xsi:type="dcterms:W3CDTF">2013-08-06T07:36:00Z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8031638</vt:lpwstr>
  </property>
</Properties>
</file>