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AD" w:rsidRPr="006376D7" w:rsidRDefault="006B5D97" w:rsidP="00F16C55">
      <w:pPr>
        <w:pStyle w:val="Heading1"/>
        <w:spacing w:before="120" w:after="0"/>
      </w:pPr>
      <w:bookmarkStart w:id="0" w:name="OLE_LINK66"/>
      <w:bookmarkStart w:id="1" w:name="OLE_LINK67"/>
      <w:r w:rsidRPr="006B5D97">
        <w:rPr>
          <w:noProof/>
          <w:sz w:val="28"/>
          <w:szCs w:val="28"/>
        </w:rPr>
        <w:pict>
          <v:shapetype id="_x0000_t202" coordsize="21600,21600" o:spt="202" path="m,l,21600r21600,l21600,xe">
            <v:stroke joinstyle="miter"/>
            <v:path gradientshapeok="t" o:connecttype="rect"/>
          </v:shapetype>
          <v:shape id="_x0000_s1026" type="#_x0000_t202" style="position:absolute;margin-left:-8.05pt;margin-top:1in;width:215.05pt;height:27pt;z-index:251655168" filled="f" fillcolor="yellow" stroked="f">
            <v:textbox style="mso-next-textbox:#_x0000_s1026">
              <w:txbxContent>
                <w:p w:rsidR="00FA56EA" w:rsidRPr="00A65EC8" w:rsidRDefault="00FA56EA" w:rsidP="00BD60AA">
                  <w:pPr>
                    <w:spacing w:before="140"/>
                    <w:rPr>
                      <w:b/>
                    </w:rPr>
                  </w:pPr>
                  <w:r>
                    <w:rPr>
                      <w:b/>
                    </w:rPr>
                    <w:t>13 – 19 January 2013</w:t>
                  </w:r>
                </w:p>
              </w:txbxContent>
            </v:textbox>
          </v:shape>
        </w:pict>
      </w:r>
      <w:r w:rsidRPr="006B5D97">
        <w:rPr>
          <w:noProof/>
          <w:sz w:val="28"/>
          <w:szCs w:val="28"/>
        </w:rPr>
        <w:pict>
          <v:shape id="_x0000_s1032" type="#_x0000_t202" style="position:absolute;margin-left:0;margin-top:9pt;width:225pt;height:54pt;z-index:251660288" filled="f" stroked="f">
            <v:textbox style="mso-next-textbox:#_x0000_s1032">
              <w:txbxContent>
                <w:p w:rsidR="00FA56EA" w:rsidRPr="009A04DD" w:rsidRDefault="00FA56EA" w:rsidP="00DB12E4">
                  <w:pPr>
                    <w:spacing w:before="60"/>
                    <w:rPr>
                      <w:rFonts w:ascii="Arial" w:hAnsi="Arial" w:cs="Arial"/>
                      <w:b/>
                      <w:color w:val="FFFFFF"/>
                      <w:sz w:val="36"/>
                      <w:szCs w:val="36"/>
                    </w:rPr>
                  </w:pPr>
                  <w:r w:rsidRPr="009A04DD">
                    <w:rPr>
                      <w:rFonts w:ascii="Arial" w:hAnsi="Arial" w:cs="Arial"/>
                      <w:b/>
                      <w:color w:val="FFFFFF"/>
                      <w:sz w:val="36"/>
                      <w:szCs w:val="36"/>
                    </w:rPr>
                    <w:t xml:space="preserve">Weekly Gas Market Report </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20.75pt;margin-top:282.05pt;width:386.3pt;height:299.3pt;z-index:251657216" fillcolor="black" strokecolor="white" strokeweight="3e-5mm">
            <v:imagedata r:id="rId7" o:title=""/>
            <o:lock v:ext="edit" rotation="t"/>
          </v:shape>
        </w:pict>
      </w:r>
      <w:r>
        <w:rPr>
          <w:noProof/>
        </w:rPr>
        <w:pict>
          <v:shape id="_x0000_s1028" type="#_x0000_t202" style="position:absolute;margin-left:-1in;margin-top:-62.35pt;width:238.8pt;height:81.15pt;z-index:251656192;visibility:hidden">
            <v:textbox style="mso-next-textbox:#_x0000_s1028">
              <w:txbxContent>
                <w:p w:rsidR="00FA56EA" w:rsidRDefault="00FA56EA" w:rsidP="005F18AD">
                  <w:pPr>
                    <w:rPr>
                      <w:noProof/>
                    </w:rPr>
                  </w:pPr>
                  <w:r>
                    <w:rPr>
                      <w:noProof/>
                    </w:rPr>
                    <w:t>Version:1.10.0.8</w:t>
                  </w:r>
                </w:p>
                <w:p w:rsidR="00FA56EA" w:rsidRDefault="00FA56EA" w:rsidP="005F18AD">
                  <w:pPr>
                    <w:rPr>
                      <w:noProof/>
                    </w:rPr>
                  </w:pPr>
                  <w:r>
                    <w:rPr>
                      <w:b/>
                      <w:noProof/>
                    </w:rPr>
                    <w:t>Hash:M28JFUaB+b6yg3w3Mxx/qE+WVFU=</w:t>
                  </w:r>
                </w:p>
                <w:p w:rsidR="00FA56EA" w:rsidRDefault="00FA56EA" w:rsidP="005F18AD">
                  <w:pPr>
                    <w:rPr>
                      <w:noProof/>
                    </w:rPr>
                  </w:pPr>
                </w:p>
              </w:txbxContent>
            </v:textbox>
          </v:shape>
        </w:pict>
      </w:r>
      <w:r>
        <w:pict>
          <v:shape id="_x0000_i1025" type="#_x0000_t75" style="width:467.2pt;height:99.3pt" o:allowoverlap="f">
            <v:imagedata r:id="rId8" o:title=""/>
          </v:shape>
        </w:pict>
      </w:r>
    </w:p>
    <w:p w:rsidR="00547827" w:rsidRPr="000F6D05" w:rsidRDefault="00547827" w:rsidP="00547827">
      <w:pPr>
        <w:pStyle w:val="AERunnumberedheading3"/>
        <w:rPr>
          <w:b/>
          <w:noProof/>
          <w:sz w:val="28"/>
          <w:szCs w:val="28"/>
        </w:rPr>
      </w:pPr>
      <w:r w:rsidRPr="000F6D05">
        <w:rPr>
          <w:b/>
          <w:noProof/>
          <w:sz w:val="28"/>
          <w:szCs w:val="28"/>
        </w:rPr>
        <w:t xml:space="preserve">Weekly summary </w:t>
      </w:r>
    </w:p>
    <w:p w:rsidR="00547827" w:rsidRPr="00585B36" w:rsidRDefault="00585B36" w:rsidP="00FF2760">
      <w:pPr>
        <w:pStyle w:val="AERunnumberedheading3"/>
        <w:jc w:val="both"/>
        <w:rPr>
          <w:rFonts w:ascii="Times New Roman" w:hAnsi="Times New Roman"/>
        </w:rPr>
      </w:pPr>
      <w:r>
        <w:rPr>
          <w:rFonts w:ascii="Times New Roman" w:hAnsi="Times New Roman"/>
        </w:rPr>
        <w:t>This week saw high prices</w:t>
      </w:r>
      <w:r w:rsidR="00243F6D">
        <w:rPr>
          <w:rFonts w:ascii="Times New Roman" w:hAnsi="Times New Roman"/>
        </w:rPr>
        <w:t xml:space="preserve"> continue</w:t>
      </w:r>
      <w:r>
        <w:rPr>
          <w:rFonts w:ascii="Times New Roman" w:hAnsi="Times New Roman"/>
        </w:rPr>
        <w:t xml:space="preserve"> in the Brisbane hub, which reached a record $12.50/GJ on 17 January. </w:t>
      </w:r>
      <w:r w:rsidR="00243F6D" w:rsidRPr="0016732C">
        <w:rPr>
          <w:rFonts w:ascii="Times New Roman" w:hAnsi="Times New Roman"/>
        </w:rPr>
        <w:t xml:space="preserve">Although Victoria’s average price was 27% higher than the previous week, </w:t>
      </w:r>
      <w:r w:rsidR="0016732C" w:rsidRPr="0016732C">
        <w:rPr>
          <w:rFonts w:ascii="Times New Roman" w:hAnsi="Times New Roman"/>
        </w:rPr>
        <w:t>this increase brings prices back in line</w:t>
      </w:r>
      <w:r w:rsidR="006D1DBE">
        <w:rPr>
          <w:rFonts w:ascii="Times New Roman" w:hAnsi="Times New Roman"/>
        </w:rPr>
        <w:t xml:space="preserve"> with</w:t>
      </w:r>
      <w:r w:rsidR="0016732C" w:rsidRPr="0016732C">
        <w:rPr>
          <w:rFonts w:ascii="Times New Roman" w:hAnsi="Times New Roman"/>
        </w:rPr>
        <w:t xml:space="preserve"> </w:t>
      </w:r>
      <w:r w:rsidR="00243F6D" w:rsidRPr="0016732C">
        <w:rPr>
          <w:rFonts w:ascii="Times New Roman" w:hAnsi="Times New Roman"/>
        </w:rPr>
        <w:t xml:space="preserve">the </w:t>
      </w:r>
      <w:r w:rsidR="006D1DBE">
        <w:rPr>
          <w:rFonts w:ascii="Times New Roman" w:hAnsi="Times New Roman"/>
        </w:rPr>
        <w:t>20</w:t>
      </w:r>
      <w:r w:rsidR="00243F6D" w:rsidRPr="0016732C">
        <w:rPr>
          <w:rFonts w:ascii="Times New Roman" w:hAnsi="Times New Roman"/>
        </w:rPr>
        <w:t>12/13 financial year</w:t>
      </w:r>
      <w:r w:rsidR="006D1DBE">
        <w:rPr>
          <w:rFonts w:ascii="Times New Roman" w:hAnsi="Times New Roman"/>
        </w:rPr>
        <w:t xml:space="preserve"> to date average price</w:t>
      </w:r>
      <w:r w:rsidR="00243F6D" w:rsidRPr="0016732C">
        <w:rPr>
          <w:rFonts w:ascii="Times New Roman" w:hAnsi="Times New Roman"/>
        </w:rPr>
        <w:t>.</w:t>
      </w:r>
    </w:p>
    <w:p w:rsidR="00547827" w:rsidRPr="000F6D05" w:rsidRDefault="00547827" w:rsidP="00547827">
      <w:pPr>
        <w:pStyle w:val="AERunnumberedheading3"/>
        <w:rPr>
          <w:b/>
          <w:noProof/>
          <w:sz w:val="28"/>
          <w:szCs w:val="28"/>
        </w:rPr>
      </w:pPr>
      <w:r w:rsidRPr="000F6D05">
        <w:rPr>
          <w:b/>
          <w:noProof/>
          <w:sz w:val="28"/>
          <w:szCs w:val="28"/>
        </w:rPr>
        <w:t>Long term statistics and explanatory material</w:t>
      </w:r>
    </w:p>
    <w:p w:rsidR="007001FF" w:rsidRPr="00366BDF" w:rsidRDefault="002E0688" w:rsidP="007001FF">
      <w:pPr>
        <w:autoSpaceDE w:val="0"/>
        <w:autoSpaceDN w:val="0"/>
        <w:adjustRightInd w:val="0"/>
        <w:jc w:val="both"/>
        <w:rPr>
          <w:color w:val="000000"/>
        </w:rPr>
      </w:pPr>
      <w:r>
        <w:t xml:space="preserve">The AER has published an </w:t>
      </w:r>
      <w:hyperlink r:id="rId9" w:history="1">
        <w:r>
          <w:rPr>
            <w:rStyle w:val="Hyperlink"/>
          </w:rPr>
          <w:t>explanatory note</w:t>
        </w:r>
      </w:hyperlink>
      <w:r>
        <w:t xml:space="preserve"> to assist with interpreting the data presented in its weekly gas market reports. The AER also publish a range of </w:t>
      </w:r>
      <w:hyperlink r:id="rId10" w:history="1">
        <w:r>
          <w:rPr>
            <w:rStyle w:val="Hyperlink"/>
          </w:rPr>
          <w:t>longer term statistics</w:t>
        </w:r>
      </w:hyperlink>
      <w:r>
        <w:t xml:space="preserve"> on the performance of the gas sector including gas prices, production, pipeline flows and consumer demand.</w:t>
      </w:r>
    </w:p>
    <w:p w:rsidR="00547827" w:rsidRPr="002A5634" w:rsidRDefault="00547827" w:rsidP="00547827">
      <w:pPr>
        <w:pStyle w:val="AERunnumberedheading3"/>
        <w:rPr>
          <w:b/>
          <w:noProof/>
          <w:sz w:val="28"/>
          <w:szCs w:val="28"/>
        </w:rPr>
      </w:pPr>
      <w:r w:rsidRPr="002A5634">
        <w:rPr>
          <w:b/>
          <w:noProof/>
          <w:sz w:val="28"/>
          <w:szCs w:val="28"/>
        </w:rPr>
        <w:t>Market overview</w:t>
      </w:r>
    </w:p>
    <w:p w:rsidR="00B24A61" w:rsidRPr="004700BA" w:rsidRDefault="00B24A61" w:rsidP="00B24A61">
      <w:pPr>
        <w:pStyle w:val="AERbodytext"/>
        <w:spacing w:before="120" w:after="120"/>
        <w:jc w:val="both"/>
      </w:pPr>
      <w:r w:rsidRPr="008D4DAB">
        <w:t xml:space="preserve">Figure 1 sets out the average daily prices ($/GJ) in the Victorian Declared Wholesale Market </w:t>
      </w:r>
      <w:r w:rsidRPr="00DE753B">
        <w:rPr>
          <w:b/>
        </w:rPr>
        <w:t>(VGM</w:t>
      </w:r>
      <w:r>
        <w:rPr>
          <w:b/>
        </w:rPr>
        <w:t xml:space="preserve"> or Victorian gas market</w:t>
      </w:r>
      <w:r w:rsidRPr="00DE753B">
        <w:rPr>
          <w:b/>
        </w:rPr>
        <w:t>)</w:t>
      </w:r>
      <w:r w:rsidRPr="008D4DAB">
        <w:t xml:space="preserve"> and for the Sydney</w:t>
      </w:r>
      <w:r w:rsidR="00781A4A">
        <w:t xml:space="preserve"> </w:t>
      </w:r>
      <w:r w:rsidR="00781A4A">
        <w:rPr>
          <w:b/>
        </w:rPr>
        <w:t>(SYD)</w:t>
      </w:r>
      <w:r w:rsidRPr="008D4DAB">
        <w:t xml:space="preserve">, Adelaide </w:t>
      </w:r>
      <w:r w:rsidR="00781A4A">
        <w:rPr>
          <w:b/>
        </w:rPr>
        <w:t xml:space="preserve">(ADL) </w:t>
      </w:r>
      <w:r w:rsidRPr="008D4DAB">
        <w:t xml:space="preserve">and Brisbane </w:t>
      </w:r>
      <w:r w:rsidR="00781A4A">
        <w:rPr>
          <w:b/>
        </w:rPr>
        <w:t xml:space="preserve">(BRI) </w:t>
      </w:r>
      <w:r w:rsidRPr="008D4DAB">
        <w:t>S</w:t>
      </w:r>
      <w:r>
        <w:t xml:space="preserve">hort </w:t>
      </w:r>
      <w:r w:rsidRPr="008D4DAB">
        <w:t>T</w:t>
      </w:r>
      <w:r>
        <w:t xml:space="preserve">erm </w:t>
      </w:r>
      <w:r w:rsidRPr="008D4DAB">
        <w:t>T</w:t>
      </w:r>
      <w:r>
        <w:t xml:space="preserve">rading </w:t>
      </w:r>
      <w:r w:rsidRPr="008D4DAB">
        <w:t>M</w:t>
      </w:r>
      <w:r>
        <w:t>arket</w:t>
      </w:r>
      <w:r w:rsidRPr="008D4DAB">
        <w:t xml:space="preserve"> hubs </w:t>
      </w:r>
      <w:r w:rsidRPr="00DE753B">
        <w:rPr>
          <w:b/>
        </w:rPr>
        <w:t>(STTM)</w:t>
      </w:r>
      <w:r>
        <w:t xml:space="preserve"> </w:t>
      </w:r>
      <w:r w:rsidRPr="008D4DAB">
        <w:t xml:space="preserve">for the current week compared to historical averages. </w:t>
      </w:r>
    </w:p>
    <w:p w:rsidR="005F18AD" w:rsidRPr="00DA3AAA" w:rsidRDefault="005F18AD" w:rsidP="006F4169">
      <w:pPr>
        <w:pStyle w:val="AERfigureheading-unnumbered"/>
        <w:spacing w:before="120"/>
        <w:rPr>
          <w:rFonts w:ascii="Arial" w:hAnsi="Arial" w:cs="Arial"/>
          <w:sz w:val="20"/>
          <w:szCs w:val="20"/>
        </w:rPr>
      </w:pPr>
      <w:r w:rsidRPr="00DA3AAA">
        <w:rPr>
          <w:rFonts w:ascii="Arial" w:hAnsi="Arial" w:cs="Arial"/>
          <w:sz w:val="20"/>
          <w:szCs w:val="20"/>
        </w:rPr>
        <w:t>Average daily prices</w:t>
      </w:r>
      <w:r w:rsidR="00290C57">
        <w:rPr>
          <w:rFonts w:ascii="Arial" w:hAnsi="Arial" w:cs="Arial"/>
          <w:sz w:val="20"/>
          <w:szCs w:val="20"/>
        </w:rPr>
        <w:t xml:space="preserve"> – all markets</w:t>
      </w:r>
      <w:r w:rsidR="008133CF" w:rsidRPr="00DA3AAA">
        <w:rPr>
          <w:rFonts w:ascii="Arial" w:hAnsi="Arial" w:cs="Arial"/>
          <w:sz w:val="20"/>
          <w:szCs w:val="20"/>
        </w:rPr>
        <w:t xml:space="preserve"> ($/GJ)</w:t>
      </w:r>
      <w:r w:rsidR="006F4169">
        <w:rPr>
          <w:rStyle w:val="FootnoteReference"/>
          <w:rFonts w:ascii="Arial" w:hAnsi="Arial" w:cs="Arial"/>
          <w:sz w:val="20"/>
          <w:szCs w:val="20"/>
        </w:rPr>
        <w:footnoteReference w:id="1"/>
      </w:r>
    </w:p>
    <w:tbl>
      <w:tblPr>
        <w:tblW w:w="9468" w:type="dxa"/>
        <w:tblBorders>
          <w:top w:val="single" w:sz="12" w:space="0" w:color="auto"/>
          <w:bottom w:val="single" w:sz="4" w:space="0" w:color="auto"/>
        </w:tblBorders>
        <w:tblLayout w:type="fixed"/>
        <w:tblLook w:val="01E0"/>
      </w:tblPr>
      <w:tblGrid>
        <w:gridCol w:w="3710"/>
        <w:gridCol w:w="1439"/>
        <w:gridCol w:w="1440"/>
        <w:gridCol w:w="1439"/>
        <w:gridCol w:w="1440"/>
      </w:tblGrid>
      <w:tr w:rsidR="000E16B0" w:rsidRPr="006376D7" w:rsidTr="002861A9">
        <w:trPr>
          <w:trHeight w:val="226"/>
        </w:trPr>
        <w:tc>
          <w:tcPr>
            <w:tcW w:w="3710" w:type="dxa"/>
            <w:tcBorders>
              <w:top w:val="nil"/>
              <w:left w:val="nil"/>
              <w:bottom w:val="single" w:sz="4" w:space="0" w:color="auto"/>
              <w:right w:val="nil"/>
              <w:tl2br w:val="nil"/>
              <w:tr2bl w:val="nil"/>
            </w:tcBorders>
            <w:noWrap/>
            <w:tcMar>
              <w:top w:w="0" w:type="dxa"/>
              <w:bottom w:w="0" w:type="dxa"/>
            </w:tcMar>
            <w:vAlign w:val="center"/>
          </w:tcPr>
          <w:p w:rsidR="000E16B0" w:rsidRDefault="000E16B0">
            <w:pPr>
              <w:rPr>
                <w:rFonts w:ascii="Arial" w:hAnsi="Arial" w:cs="Arial"/>
                <w:b/>
                <w:bCs/>
                <w:sz w:val="20"/>
                <w:szCs w:val="20"/>
              </w:rPr>
            </w:pPr>
            <w:r>
              <w:rPr>
                <w:rFonts w:ascii="Arial" w:hAnsi="Arial" w:cs="Arial"/>
                <w:b/>
                <w:bCs/>
                <w:sz w:val="20"/>
                <w:szCs w:val="20"/>
              </w:rPr>
              <w:t> </w:t>
            </w:r>
          </w:p>
        </w:tc>
        <w:tc>
          <w:tcPr>
            <w:tcW w:w="1439" w:type="dxa"/>
            <w:tcBorders>
              <w:top w:val="nil"/>
              <w:left w:val="nil"/>
              <w:bottom w:val="single" w:sz="4" w:space="0" w:color="auto"/>
              <w:right w:val="nil"/>
              <w:tl2br w:val="nil"/>
              <w:tr2bl w:val="nil"/>
            </w:tcBorders>
            <w:noWrap/>
            <w:tcMar>
              <w:top w:w="0" w:type="dxa"/>
              <w:bottom w:w="0" w:type="dxa"/>
            </w:tcMar>
            <w:vAlign w:val="center"/>
          </w:tcPr>
          <w:p w:rsidR="000E16B0" w:rsidRDefault="000E16B0">
            <w:pPr>
              <w:jc w:val="center"/>
              <w:rPr>
                <w:rFonts w:ascii="Arial" w:hAnsi="Arial" w:cs="Arial"/>
                <w:b/>
                <w:bCs/>
                <w:sz w:val="20"/>
                <w:szCs w:val="20"/>
              </w:rPr>
            </w:pPr>
            <w:r>
              <w:rPr>
                <w:rFonts w:ascii="Arial" w:hAnsi="Arial" w:cs="Arial"/>
                <w:b/>
                <w:bCs/>
                <w:sz w:val="20"/>
                <w:szCs w:val="20"/>
              </w:rPr>
              <w:t>Victoria</w:t>
            </w:r>
          </w:p>
        </w:tc>
        <w:tc>
          <w:tcPr>
            <w:tcW w:w="1440" w:type="dxa"/>
            <w:tcBorders>
              <w:top w:val="nil"/>
              <w:left w:val="nil"/>
              <w:bottom w:val="single" w:sz="4" w:space="0" w:color="auto"/>
              <w:right w:val="nil"/>
              <w:tl2br w:val="nil"/>
              <w:tr2bl w:val="nil"/>
            </w:tcBorders>
            <w:noWrap/>
            <w:tcMar>
              <w:top w:w="0" w:type="dxa"/>
              <w:bottom w:w="0" w:type="dxa"/>
            </w:tcMar>
            <w:vAlign w:val="center"/>
          </w:tcPr>
          <w:p w:rsidR="000E16B0" w:rsidRDefault="000E16B0">
            <w:pPr>
              <w:jc w:val="center"/>
              <w:rPr>
                <w:rFonts w:ascii="Arial" w:hAnsi="Arial" w:cs="Arial"/>
                <w:b/>
                <w:bCs/>
                <w:sz w:val="20"/>
                <w:szCs w:val="20"/>
              </w:rPr>
            </w:pPr>
            <w:r>
              <w:rPr>
                <w:rFonts w:ascii="Arial" w:hAnsi="Arial" w:cs="Arial"/>
                <w:b/>
                <w:bCs/>
                <w:sz w:val="20"/>
                <w:szCs w:val="20"/>
              </w:rPr>
              <w:t>Sydney</w:t>
            </w:r>
          </w:p>
        </w:tc>
        <w:tc>
          <w:tcPr>
            <w:tcW w:w="1439" w:type="dxa"/>
            <w:tcBorders>
              <w:top w:val="nil"/>
              <w:left w:val="nil"/>
              <w:bottom w:val="single" w:sz="4" w:space="0" w:color="auto"/>
              <w:right w:val="nil"/>
              <w:tl2br w:val="nil"/>
              <w:tr2bl w:val="nil"/>
            </w:tcBorders>
            <w:noWrap/>
            <w:tcMar>
              <w:top w:w="0" w:type="dxa"/>
              <w:bottom w:w="0" w:type="dxa"/>
            </w:tcMar>
            <w:vAlign w:val="center"/>
          </w:tcPr>
          <w:p w:rsidR="000E16B0" w:rsidRDefault="000E16B0">
            <w:pPr>
              <w:jc w:val="center"/>
              <w:rPr>
                <w:rFonts w:ascii="Arial" w:hAnsi="Arial" w:cs="Arial"/>
                <w:b/>
                <w:bCs/>
                <w:sz w:val="20"/>
                <w:szCs w:val="20"/>
              </w:rPr>
            </w:pPr>
            <w:r>
              <w:rPr>
                <w:rFonts w:ascii="Arial" w:hAnsi="Arial" w:cs="Arial"/>
                <w:b/>
                <w:bCs/>
                <w:sz w:val="20"/>
                <w:szCs w:val="20"/>
              </w:rPr>
              <w:t>Adelaide</w:t>
            </w:r>
          </w:p>
        </w:tc>
        <w:tc>
          <w:tcPr>
            <w:tcW w:w="1440" w:type="dxa"/>
            <w:tcBorders>
              <w:top w:val="nil"/>
              <w:left w:val="nil"/>
              <w:bottom w:val="single" w:sz="4" w:space="0" w:color="auto"/>
              <w:right w:val="nil"/>
              <w:tl2br w:val="nil"/>
              <w:tr2bl w:val="nil"/>
            </w:tcBorders>
            <w:noWrap/>
            <w:tcMar>
              <w:top w:w="0" w:type="dxa"/>
              <w:bottom w:w="0" w:type="dxa"/>
            </w:tcMar>
            <w:vAlign w:val="center"/>
          </w:tcPr>
          <w:p w:rsidR="000E16B0" w:rsidRDefault="000E16B0">
            <w:pPr>
              <w:jc w:val="center"/>
              <w:rPr>
                <w:rFonts w:ascii="Arial" w:hAnsi="Arial" w:cs="Arial"/>
                <w:b/>
                <w:bCs/>
                <w:sz w:val="20"/>
                <w:szCs w:val="20"/>
              </w:rPr>
            </w:pPr>
            <w:r>
              <w:rPr>
                <w:rFonts w:ascii="Arial" w:hAnsi="Arial" w:cs="Arial"/>
                <w:b/>
                <w:bCs/>
                <w:sz w:val="20"/>
                <w:szCs w:val="20"/>
              </w:rPr>
              <w:t>Brisbane</w:t>
            </w:r>
          </w:p>
        </w:tc>
      </w:tr>
      <w:tr w:rsidR="000E16B0" w:rsidRPr="006376D7" w:rsidTr="002861A9">
        <w:trPr>
          <w:trHeight w:val="382"/>
        </w:trPr>
        <w:tc>
          <w:tcPr>
            <w:tcW w:w="371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13 Jan - 19 Jan 2013</w:t>
            </w:r>
          </w:p>
        </w:tc>
        <w:tc>
          <w:tcPr>
            <w:tcW w:w="143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4.49</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4.30</w:t>
            </w:r>
          </w:p>
        </w:tc>
        <w:tc>
          <w:tcPr>
            <w:tcW w:w="143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4.95</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10.01</w:t>
            </w:r>
          </w:p>
        </w:tc>
      </w:tr>
      <w:tr w:rsidR="000E16B0" w:rsidRPr="006376D7" w:rsidTr="002861A9">
        <w:trPr>
          <w:trHeight w:val="382"/>
        </w:trPr>
        <w:tc>
          <w:tcPr>
            <w:tcW w:w="371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 change from previous week</w:t>
            </w:r>
          </w:p>
        </w:tc>
        <w:tc>
          <w:tcPr>
            <w:tcW w:w="143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27</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6</w:t>
            </w:r>
          </w:p>
        </w:tc>
        <w:tc>
          <w:tcPr>
            <w:tcW w:w="143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49</w:t>
            </w:r>
          </w:p>
        </w:tc>
      </w:tr>
      <w:tr w:rsidR="000E16B0" w:rsidRPr="006376D7" w:rsidTr="002861A9">
        <w:trPr>
          <w:trHeight w:val="382"/>
        </w:trPr>
        <w:tc>
          <w:tcPr>
            <w:tcW w:w="371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12-13 financial YTD</w:t>
            </w:r>
          </w:p>
        </w:tc>
        <w:tc>
          <w:tcPr>
            <w:tcW w:w="143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4.47</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5.30</w:t>
            </w:r>
          </w:p>
        </w:tc>
        <w:tc>
          <w:tcPr>
            <w:tcW w:w="143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5.19</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5.45</w:t>
            </w:r>
          </w:p>
        </w:tc>
      </w:tr>
      <w:tr w:rsidR="000E16B0" w:rsidRPr="006376D7" w:rsidTr="002861A9">
        <w:trPr>
          <w:trHeight w:val="382"/>
        </w:trPr>
        <w:tc>
          <w:tcPr>
            <w:tcW w:w="371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 change from previous financial YTD</w:t>
            </w:r>
          </w:p>
        </w:tc>
        <w:tc>
          <w:tcPr>
            <w:tcW w:w="143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54</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76</w:t>
            </w:r>
          </w:p>
        </w:tc>
        <w:tc>
          <w:tcPr>
            <w:tcW w:w="143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41</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82</w:t>
            </w:r>
          </w:p>
        </w:tc>
      </w:tr>
    </w:tbl>
    <w:p w:rsidR="00B24A61" w:rsidRPr="008D4DAB" w:rsidRDefault="00447C09" w:rsidP="00B24A61">
      <w:pPr>
        <w:pStyle w:val="AERbodytext"/>
        <w:spacing w:before="120" w:after="120"/>
        <w:jc w:val="both"/>
      </w:pPr>
      <w:r>
        <w:t>Figure</w:t>
      </w:r>
      <w:r w:rsidR="00B24A61" w:rsidRPr="008D4DAB">
        <w:t xml:space="preserve"> 2 compare</w:t>
      </w:r>
      <w:r>
        <w:t>s</w:t>
      </w:r>
      <w:r w:rsidR="00B24A61" w:rsidRPr="008D4DAB">
        <w:t xml:space="preserve"> average weekly gas prices, ancillary market payments and </w:t>
      </w:r>
      <w:r>
        <w:t>scheduled</w:t>
      </w:r>
      <w:r w:rsidR="00B24A61" w:rsidRPr="008D4DAB">
        <w:t xml:space="preserve"> </w:t>
      </w:r>
      <w:r w:rsidR="00B24A61">
        <w:t>injections</w:t>
      </w:r>
      <w:r w:rsidR="00B24A61" w:rsidRPr="008D4DAB">
        <w:t xml:space="preserve"> against historical averages for the </w:t>
      </w:r>
      <w:r w:rsidR="00B24A61">
        <w:t xml:space="preserve">Vic </w:t>
      </w:r>
      <w:r w:rsidR="00B24A61" w:rsidRPr="008D4DAB">
        <w:t>gas market.</w:t>
      </w:r>
    </w:p>
    <w:p w:rsidR="005F18AD" w:rsidRPr="00875D0C" w:rsidRDefault="005F18AD" w:rsidP="000D1FEB">
      <w:pPr>
        <w:pStyle w:val="AERfigureheading-unnumbered"/>
        <w:tabs>
          <w:tab w:val="num" w:pos="1080"/>
        </w:tabs>
        <w:spacing w:before="120"/>
        <w:rPr>
          <w:rFonts w:ascii="Arial" w:hAnsi="Arial" w:cs="Arial"/>
          <w:sz w:val="20"/>
          <w:szCs w:val="20"/>
        </w:rPr>
      </w:pPr>
      <w:r w:rsidRPr="00875D0C">
        <w:rPr>
          <w:rFonts w:ascii="Arial" w:hAnsi="Arial" w:cs="Arial"/>
          <w:sz w:val="20"/>
          <w:szCs w:val="20"/>
        </w:rPr>
        <w:t xml:space="preserve">Victorian </w:t>
      </w:r>
      <w:r w:rsidR="00645036">
        <w:rPr>
          <w:rFonts w:ascii="Arial" w:hAnsi="Arial" w:cs="Arial"/>
          <w:sz w:val="20"/>
          <w:szCs w:val="20"/>
        </w:rPr>
        <w:t>g</w:t>
      </w:r>
      <w:r w:rsidRPr="00875D0C">
        <w:rPr>
          <w:rFonts w:ascii="Arial" w:hAnsi="Arial" w:cs="Arial"/>
          <w:sz w:val="20"/>
          <w:szCs w:val="20"/>
        </w:rPr>
        <w:t xml:space="preserve">as </w:t>
      </w:r>
      <w:r w:rsidR="00645036">
        <w:rPr>
          <w:rFonts w:ascii="Arial" w:hAnsi="Arial" w:cs="Arial"/>
          <w:sz w:val="20"/>
          <w:szCs w:val="20"/>
        </w:rPr>
        <w:t>m</w:t>
      </w:r>
      <w:r w:rsidRPr="00875D0C">
        <w:rPr>
          <w:rFonts w:ascii="Arial" w:hAnsi="Arial" w:cs="Arial"/>
          <w:sz w:val="20"/>
          <w:szCs w:val="20"/>
        </w:rPr>
        <w:t>arket</w:t>
      </w:r>
      <w:r w:rsidR="00522E00">
        <w:rPr>
          <w:rFonts w:ascii="Arial" w:hAnsi="Arial" w:cs="Arial"/>
          <w:sz w:val="20"/>
          <w:szCs w:val="20"/>
        </w:rPr>
        <w:t xml:space="preserve"> </w:t>
      </w:r>
    </w:p>
    <w:tbl>
      <w:tblPr>
        <w:tblW w:w="9468" w:type="dxa"/>
        <w:tblBorders>
          <w:top w:val="single" w:sz="12" w:space="0" w:color="auto"/>
          <w:bottom w:val="single" w:sz="4" w:space="0" w:color="auto"/>
        </w:tblBorders>
        <w:tblLayout w:type="fixed"/>
        <w:tblLook w:val="01E0"/>
      </w:tblPr>
      <w:tblGrid>
        <w:gridCol w:w="3708"/>
        <w:gridCol w:w="1440"/>
        <w:gridCol w:w="2160"/>
        <w:gridCol w:w="2160"/>
      </w:tblGrid>
      <w:tr w:rsidR="003410C4" w:rsidRPr="006376D7" w:rsidTr="002861A9">
        <w:trPr>
          <w:trHeight w:val="226"/>
        </w:trPr>
        <w:tc>
          <w:tcPr>
            <w:tcW w:w="3708" w:type="dxa"/>
            <w:tcBorders>
              <w:top w:val="nil"/>
              <w:left w:val="nil"/>
              <w:bottom w:val="single" w:sz="4" w:space="0" w:color="auto"/>
              <w:right w:val="nil"/>
              <w:tl2br w:val="nil"/>
              <w:tr2bl w:val="nil"/>
            </w:tcBorders>
            <w:noWrap/>
            <w:tcMar>
              <w:top w:w="0" w:type="dxa"/>
              <w:bottom w:w="0" w:type="dxa"/>
            </w:tcMar>
          </w:tcPr>
          <w:p w:rsidR="003410C4" w:rsidRPr="002861A9" w:rsidRDefault="003410C4" w:rsidP="002861A9">
            <w:pPr>
              <w:keepNext/>
              <w:spacing w:before="40" w:after="40"/>
              <w:rPr>
                <w:rFonts w:ascii="Arial" w:hAnsi="Arial" w:cs="Arial"/>
                <w:b/>
                <w:bCs/>
                <w:sz w:val="20"/>
                <w:szCs w:val="20"/>
              </w:rPr>
            </w:pPr>
          </w:p>
        </w:tc>
        <w:tc>
          <w:tcPr>
            <w:tcW w:w="1440" w:type="dxa"/>
            <w:tcBorders>
              <w:top w:val="nil"/>
              <w:left w:val="nil"/>
              <w:bottom w:val="single" w:sz="4" w:space="0" w:color="auto"/>
              <w:right w:val="nil"/>
              <w:tl2br w:val="nil"/>
              <w:tr2bl w:val="nil"/>
            </w:tcBorders>
            <w:noWrap/>
            <w:tcMar>
              <w:top w:w="0" w:type="dxa"/>
              <w:bottom w:w="0" w:type="dxa"/>
            </w:tcMa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Price ($/GJ)</w:t>
            </w:r>
          </w:p>
        </w:tc>
        <w:tc>
          <w:tcPr>
            <w:tcW w:w="2160" w:type="dxa"/>
            <w:tcBorders>
              <w:top w:val="nil"/>
              <w:left w:val="nil"/>
              <w:bottom w:val="single" w:sz="4" w:space="0" w:color="auto"/>
              <w:right w:val="nil"/>
              <w:tl2br w:val="nil"/>
              <w:tr2bl w:val="nil"/>
            </w:tcBorders>
            <w:noWrap/>
            <w:tcMar>
              <w:top w:w="0" w:type="dxa"/>
              <w:bottom w:w="0" w:type="dxa"/>
            </w:tcMa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Ancillary payments ($000)</w:t>
            </w:r>
            <w:r w:rsidR="001420EB">
              <w:rPr>
                <w:rFonts w:ascii="Arial" w:hAnsi="Arial" w:cs="Arial"/>
                <w:b/>
                <w:bCs/>
                <w:sz w:val="20"/>
                <w:szCs w:val="20"/>
              </w:rPr>
              <w:t>*</w:t>
            </w:r>
          </w:p>
        </w:tc>
        <w:tc>
          <w:tcPr>
            <w:tcW w:w="2160" w:type="dxa"/>
            <w:tcBorders>
              <w:top w:val="nil"/>
              <w:left w:val="nil"/>
              <w:bottom w:val="single" w:sz="4" w:space="0" w:color="auto"/>
              <w:right w:val="nil"/>
              <w:tl2br w:val="nil"/>
              <w:tr2bl w:val="nil"/>
            </w:tcBorders>
            <w:noWrap/>
            <w:tcMar>
              <w:top w:w="0" w:type="dxa"/>
              <w:bottom w:w="0" w:type="dxa"/>
            </w:tcMa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BOD forecast demand quantity (TJ)</w:t>
            </w:r>
          </w:p>
        </w:tc>
      </w:tr>
      <w:tr w:rsidR="000E16B0" w:rsidRPr="006376D7" w:rsidTr="002861A9">
        <w:trPr>
          <w:trHeight w:val="382"/>
        </w:trPr>
        <w:tc>
          <w:tcPr>
            <w:tcW w:w="3708"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13 Jan - 19 Jan 2013</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4.49</w:t>
            </w:r>
          </w:p>
        </w:tc>
        <w:tc>
          <w:tcPr>
            <w:tcW w:w="21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w:t>
            </w:r>
          </w:p>
        </w:tc>
        <w:tc>
          <w:tcPr>
            <w:tcW w:w="21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318</w:t>
            </w:r>
          </w:p>
        </w:tc>
      </w:tr>
      <w:tr w:rsidR="000E16B0" w:rsidRPr="006376D7" w:rsidTr="002861A9">
        <w:trPr>
          <w:trHeight w:val="382"/>
        </w:trPr>
        <w:tc>
          <w:tcPr>
            <w:tcW w:w="3708"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 change from previous week</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27</w:t>
            </w:r>
          </w:p>
        </w:tc>
        <w:tc>
          <w:tcPr>
            <w:tcW w:w="21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w:t>
            </w:r>
          </w:p>
        </w:tc>
        <w:tc>
          <w:tcPr>
            <w:tcW w:w="21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3</w:t>
            </w:r>
          </w:p>
        </w:tc>
      </w:tr>
      <w:tr w:rsidR="000E16B0" w:rsidRPr="006376D7" w:rsidTr="002861A9">
        <w:trPr>
          <w:trHeight w:val="382"/>
        </w:trPr>
        <w:tc>
          <w:tcPr>
            <w:tcW w:w="3708"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12-13 financial YTD</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4.47</w:t>
            </w:r>
          </w:p>
        </w:tc>
        <w:tc>
          <w:tcPr>
            <w:tcW w:w="21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w:t>
            </w:r>
          </w:p>
        </w:tc>
        <w:tc>
          <w:tcPr>
            <w:tcW w:w="21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600</w:t>
            </w:r>
          </w:p>
        </w:tc>
      </w:tr>
      <w:tr w:rsidR="000E16B0" w:rsidRPr="006376D7" w:rsidTr="002861A9">
        <w:trPr>
          <w:trHeight w:val="382"/>
        </w:trPr>
        <w:tc>
          <w:tcPr>
            <w:tcW w:w="3708"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 xml:space="preserve">% change from previous financial YTD </w:t>
            </w:r>
          </w:p>
        </w:tc>
        <w:tc>
          <w:tcPr>
            <w:tcW w:w="144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54</w:t>
            </w:r>
          </w:p>
        </w:tc>
        <w:tc>
          <w:tcPr>
            <w:tcW w:w="21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w:t>
            </w:r>
          </w:p>
        </w:tc>
        <w:tc>
          <w:tcPr>
            <w:tcW w:w="21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w:t>
            </w:r>
          </w:p>
        </w:tc>
      </w:tr>
    </w:tbl>
    <w:p w:rsidR="00BC4C5B" w:rsidRDefault="00BC4C5B" w:rsidP="001A5C1A">
      <w:pPr>
        <w:pStyle w:val="AERbodytext"/>
        <w:spacing w:before="120" w:after="120"/>
        <w:jc w:val="both"/>
      </w:pPr>
      <w:r w:rsidRPr="006619E5">
        <w:rPr>
          <w:sz w:val="20"/>
        </w:rPr>
        <w:t>*</w:t>
      </w:r>
      <w:r w:rsidR="001420EB" w:rsidRPr="001420EB">
        <w:rPr>
          <w:sz w:val="20"/>
        </w:rPr>
        <w:t xml:space="preserve"> </w:t>
      </w:r>
      <w:r w:rsidR="001420EB" w:rsidRPr="006619E5">
        <w:rPr>
          <w:sz w:val="20"/>
        </w:rPr>
        <w:t>Note: only positive ancillary payments, reflecting system con</w:t>
      </w:r>
      <w:r w:rsidR="001420EB">
        <w:rPr>
          <w:sz w:val="20"/>
        </w:rPr>
        <w:t>straints will be shown here</w:t>
      </w:r>
      <w:r>
        <w:t xml:space="preserve"> </w:t>
      </w:r>
    </w:p>
    <w:p w:rsidR="00AD3EBD" w:rsidRDefault="008A6DB5" w:rsidP="001A5C1A">
      <w:pPr>
        <w:pStyle w:val="AERbodytext"/>
        <w:spacing w:before="120" w:after="120"/>
        <w:jc w:val="both"/>
      </w:pPr>
      <w:r>
        <w:t>More</w:t>
      </w:r>
      <w:r w:rsidR="00D329E0" w:rsidRPr="00D329E0">
        <w:t xml:space="preserve"> </w:t>
      </w:r>
      <w:r>
        <w:t xml:space="preserve">detailed </w:t>
      </w:r>
      <w:r w:rsidR="00D329E0" w:rsidRPr="00D329E0">
        <w:t>analysis on the Victorian declared wholesale marke</w:t>
      </w:r>
      <w:r w:rsidR="006F4169">
        <w:t>t</w:t>
      </w:r>
      <w:r>
        <w:t xml:space="preserve"> is </w:t>
      </w:r>
      <w:r w:rsidR="000B6397">
        <w:t xml:space="preserve">provided </w:t>
      </w:r>
      <w:r>
        <w:t>in Section 1</w:t>
      </w:r>
      <w:r w:rsidR="00D329E0" w:rsidRPr="00D329E0">
        <w:t xml:space="preserve">. </w:t>
      </w:r>
    </w:p>
    <w:p w:rsidR="00547827" w:rsidRPr="008D4DAB" w:rsidRDefault="00547827" w:rsidP="00547827">
      <w:pPr>
        <w:pStyle w:val="AERbodytext"/>
        <w:spacing w:before="120" w:after="120"/>
        <w:jc w:val="both"/>
      </w:pPr>
      <w:r w:rsidRPr="008D4DAB">
        <w:t xml:space="preserve">Figures </w:t>
      </w:r>
      <w:r>
        <w:t xml:space="preserve">3 to 5 show </w:t>
      </w:r>
      <w:r w:rsidRPr="008D4DAB">
        <w:t xml:space="preserve">average </w:t>
      </w:r>
      <w:r>
        <w:t xml:space="preserve">ex ante and ex post </w:t>
      </w:r>
      <w:r w:rsidRPr="008D4DAB">
        <w:t>gas prices</w:t>
      </w:r>
      <w:r>
        <w:t xml:space="preserve">, MOS balancing gas service payments </w:t>
      </w:r>
      <w:r w:rsidR="00B30EB3">
        <w:t>together with</w:t>
      </w:r>
      <w:r>
        <w:t xml:space="preserve"> the related daily</w:t>
      </w:r>
      <w:r w:rsidRPr="008D4DAB">
        <w:t xml:space="preserve"> demand </w:t>
      </w:r>
      <w:r>
        <w:t xml:space="preserve">quantities against </w:t>
      </w:r>
      <w:r w:rsidRPr="008D4DAB">
        <w:t xml:space="preserve">historical averages </w:t>
      </w:r>
      <w:r>
        <w:t xml:space="preserve">for the </w:t>
      </w:r>
      <w:smartTag w:uri="urn:schemas-microsoft-com:office:smarttags" w:element="City">
        <w:r>
          <w:t>Sydney</w:t>
        </w:r>
      </w:smartTag>
      <w:r>
        <w:t xml:space="preserve">, </w:t>
      </w:r>
      <w:smartTag w:uri="urn:schemas-microsoft-com:office:smarttags" w:element="City">
        <w:r>
          <w:t>Adelaide</w:t>
        </w:r>
      </w:smartTag>
      <w:r>
        <w:t xml:space="preserve"> and </w:t>
      </w:r>
      <w:smartTag w:uri="urn:schemas-microsoft-com:office:smarttags" w:element="City">
        <w:smartTag w:uri="urn:schemas-microsoft-com:office:smarttags" w:element="place">
          <w:r>
            <w:t>Brisbane</w:t>
          </w:r>
        </w:smartTag>
      </w:smartTag>
      <w:r>
        <w:t xml:space="preserve"> wholesale gas markets, respectively.</w:t>
      </w:r>
    </w:p>
    <w:p w:rsidR="00040F6B" w:rsidRDefault="00040F6B" w:rsidP="001A5C1A">
      <w:pPr>
        <w:pStyle w:val="AERbodytext"/>
        <w:spacing w:before="120" w:after="120"/>
        <w:jc w:val="both"/>
      </w:pPr>
    </w:p>
    <w:p w:rsidR="00AD3EBD" w:rsidRPr="00E77449" w:rsidRDefault="00AD3EBD" w:rsidP="000D1FEB">
      <w:pPr>
        <w:pStyle w:val="AERfigureheading-unnumbered"/>
        <w:tabs>
          <w:tab w:val="num" w:pos="1080"/>
        </w:tabs>
        <w:spacing w:before="120"/>
        <w:rPr>
          <w:rFonts w:ascii="Arial" w:hAnsi="Arial" w:cs="Arial"/>
          <w:sz w:val="20"/>
          <w:szCs w:val="20"/>
        </w:rPr>
      </w:pPr>
      <w:smartTag w:uri="urn:schemas-microsoft-com:office:smarttags" w:element="place">
        <w:smartTag w:uri="urn:schemas-microsoft-com:office:smarttags" w:element="City">
          <w:r w:rsidRPr="00E77449">
            <w:rPr>
              <w:rFonts w:ascii="Arial" w:hAnsi="Arial" w:cs="Arial"/>
              <w:sz w:val="20"/>
              <w:szCs w:val="20"/>
            </w:rPr>
            <w:t>Sydney</w:t>
          </w:r>
        </w:smartTag>
      </w:smartTag>
      <w:r w:rsidRPr="00E77449">
        <w:rPr>
          <w:rFonts w:ascii="Arial" w:hAnsi="Arial" w:cs="Arial"/>
          <w:sz w:val="20"/>
          <w:szCs w:val="20"/>
        </w:rPr>
        <w:t xml:space="preserve"> STTM</w:t>
      </w:r>
      <w:r w:rsidR="00522E00" w:rsidRPr="00E77449">
        <w:rPr>
          <w:rFonts w:ascii="Arial" w:hAnsi="Arial" w:cs="Arial"/>
          <w:sz w:val="20"/>
          <w:szCs w:val="20"/>
        </w:rPr>
        <w:t xml:space="preserve"> </w:t>
      </w:r>
    </w:p>
    <w:tbl>
      <w:tblPr>
        <w:tblW w:w="9288" w:type="dxa"/>
        <w:tblBorders>
          <w:top w:val="single" w:sz="12" w:space="0" w:color="auto"/>
          <w:bottom w:val="single" w:sz="4" w:space="0" w:color="auto"/>
        </w:tblBorders>
        <w:tblLayout w:type="fixed"/>
        <w:tblLook w:val="01E0"/>
      </w:tblPr>
      <w:tblGrid>
        <w:gridCol w:w="2670"/>
        <w:gridCol w:w="1359"/>
        <w:gridCol w:w="1360"/>
        <w:gridCol w:w="1359"/>
        <w:gridCol w:w="1280"/>
        <w:gridCol w:w="1260"/>
      </w:tblGrid>
      <w:tr w:rsidR="003410C4" w:rsidRPr="00900CEB" w:rsidTr="002861A9">
        <w:trPr>
          <w:trHeight w:val="226"/>
        </w:trPr>
        <w:tc>
          <w:tcPr>
            <w:tcW w:w="267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rPr>
                <w:rFonts w:ascii="Arial" w:hAnsi="Arial" w:cs="Arial"/>
                <w:b/>
                <w:bCs/>
                <w:sz w:val="20"/>
                <w:szCs w:val="20"/>
              </w:rPr>
            </w:pPr>
            <w:r w:rsidRPr="002861A9">
              <w:rPr>
                <w:rFonts w:ascii="Arial" w:hAnsi="Arial" w:cs="Arial"/>
                <w:b/>
                <w:bCs/>
                <w:sz w:val="20"/>
                <w:szCs w:val="20"/>
              </w:rPr>
              <w:t> </w:t>
            </w:r>
          </w:p>
        </w:tc>
        <w:tc>
          <w:tcPr>
            <w:tcW w:w="135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ante price ($/GJ)</w:t>
            </w:r>
          </w:p>
        </w:tc>
        <w:tc>
          <w:tcPr>
            <w:tcW w:w="136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post price ($/GJ)</w:t>
            </w:r>
          </w:p>
        </w:tc>
        <w:tc>
          <w:tcPr>
            <w:tcW w:w="135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MOS payments ($000)</w:t>
            </w:r>
          </w:p>
        </w:tc>
        <w:tc>
          <w:tcPr>
            <w:tcW w:w="128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ante quantity (TJ)</w:t>
            </w:r>
          </w:p>
        </w:tc>
        <w:tc>
          <w:tcPr>
            <w:tcW w:w="126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post quantity (TJ)</w:t>
            </w:r>
          </w:p>
        </w:tc>
      </w:tr>
      <w:tr w:rsidR="000E16B0" w:rsidRPr="002861A9" w:rsidTr="002861A9">
        <w:trPr>
          <w:trHeight w:val="382"/>
        </w:trPr>
        <w:tc>
          <w:tcPr>
            <w:tcW w:w="267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13 Jan - 19 Jan 2013</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4.30</w:t>
            </w:r>
          </w:p>
        </w:tc>
        <w:tc>
          <w:tcPr>
            <w:tcW w:w="13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4.29</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10.05</w:t>
            </w:r>
          </w:p>
        </w:tc>
        <w:tc>
          <w:tcPr>
            <w:tcW w:w="128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212</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211</w:t>
            </w:r>
          </w:p>
        </w:tc>
      </w:tr>
      <w:tr w:rsidR="000E16B0" w:rsidRPr="002861A9" w:rsidTr="002861A9">
        <w:trPr>
          <w:trHeight w:val="382"/>
        </w:trPr>
        <w:tc>
          <w:tcPr>
            <w:tcW w:w="267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 change from previous week</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6</w:t>
            </w:r>
          </w:p>
        </w:tc>
        <w:tc>
          <w:tcPr>
            <w:tcW w:w="13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16</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-68</w:t>
            </w:r>
          </w:p>
        </w:tc>
        <w:tc>
          <w:tcPr>
            <w:tcW w:w="128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7</w:t>
            </w:r>
          </w:p>
        </w:tc>
      </w:tr>
      <w:tr w:rsidR="000E16B0" w:rsidRPr="002861A9" w:rsidTr="002861A9">
        <w:trPr>
          <w:trHeight w:val="382"/>
        </w:trPr>
        <w:tc>
          <w:tcPr>
            <w:tcW w:w="267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12-13 financial YTD</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5.30</w:t>
            </w:r>
          </w:p>
        </w:tc>
        <w:tc>
          <w:tcPr>
            <w:tcW w:w="13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5.66</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11.27</w:t>
            </w:r>
          </w:p>
        </w:tc>
        <w:tc>
          <w:tcPr>
            <w:tcW w:w="128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245</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246</w:t>
            </w:r>
          </w:p>
        </w:tc>
      </w:tr>
      <w:tr w:rsidR="000E16B0" w:rsidRPr="002861A9" w:rsidTr="002861A9">
        <w:trPr>
          <w:trHeight w:val="382"/>
        </w:trPr>
        <w:tc>
          <w:tcPr>
            <w:tcW w:w="267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 change from previous financial YTD</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76</w:t>
            </w:r>
          </w:p>
        </w:tc>
        <w:tc>
          <w:tcPr>
            <w:tcW w:w="13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113</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-74</w:t>
            </w:r>
          </w:p>
        </w:tc>
        <w:tc>
          <w:tcPr>
            <w:tcW w:w="128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7</w:t>
            </w:r>
          </w:p>
        </w:tc>
      </w:tr>
    </w:tbl>
    <w:p w:rsidR="004B2256" w:rsidRDefault="004B2256" w:rsidP="004B2256">
      <w:pPr>
        <w:pStyle w:val="AERfigureheading-unnumbered"/>
        <w:numPr>
          <w:ilvl w:val="0"/>
          <w:numId w:val="0"/>
        </w:numPr>
        <w:tabs>
          <w:tab w:val="num" w:pos="1134"/>
        </w:tabs>
        <w:spacing w:before="120"/>
        <w:ind w:left="1361" w:hanging="1361"/>
        <w:rPr>
          <w:rFonts w:ascii="Arial" w:hAnsi="Arial" w:cs="Arial"/>
          <w:sz w:val="20"/>
          <w:szCs w:val="20"/>
        </w:rPr>
      </w:pPr>
    </w:p>
    <w:p w:rsidR="005F18AD" w:rsidRPr="00900CEB" w:rsidRDefault="005F18AD" w:rsidP="004B2256">
      <w:pPr>
        <w:pStyle w:val="AERfigureheading-unnumbered"/>
        <w:tabs>
          <w:tab w:val="num" w:pos="1080"/>
        </w:tabs>
        <w:spacing w:before="120"/>
        <w:rPr>
          <w:rFonts w:ascii="Arial" w:hAnsi="Arial" w:cs="Arial"/>
          <w:sz w:val="20"/>
          <w:szCs w:val="20"/>
        </w:rPr>
      </w:pPr>
      <w:smartTag w:uri="urn:schemas-microsoft-com:office:smarttags" w:element="place">
        <w:smartTag w:uri="urn:schemas-microsoft-com:office:smarttags" w:element="City">
          <w:r w:rsidRPr="00900CEB">
            <w:rPr>
              <w:rFonts w:ascii="Arial" w:hAnsi="Arial" w:cs="Arial"/>
              <w:sz w:val="20"/>
              <w:szCs w:val="20"/>
            </w:rPr>
            <w:t>Adelaide</w:t>
          </w:r>
        </w:smartTag>
      </w:smartTag>
      <w:r w:rsidRPr="00900CEB">
        <w:rPr>
          <w:rFonts w:ascii="Arial" w:hAnsi="Arial" w:cs="Arial"/>
          <w:sz w:val="20"/>
          <w:szCs w:val="20"/>
        </w:rPr>
        <w:t xml:space="preserve"> STTM</w:t>
      </w:r>
      <w:r w:rsidR="00522E00" w:rsidRPr="00900CEB">
        <w:rPr>
          <w:rFonts w:ascii="Arial" w:hAnsi="Arial" w:cs="Arial"/>
          <w:sz w:val="20"/>
          <w:szCs w:val="20"/>
        </w:rPr>
        <w:t xml:space="preserve"> </w:t>
      </w:r>
    </w:p>
    <w:tbl>
      <w:tblPr>
        <w:tblW w:w="9288" w:type="dxa"/>
        <w:tblBorders>
          <w:top w:val="single" w:sz="12" w:space="0" w:color="auto"/>
          <w:bottom w:val="single" w:sz="4" w:space="0" w:color="auto"/>
        </w:tblBorders>
        <w:tblLayout w:type="fixed"/>
        <w:tblLook w:val="01E0"/>
      </w:tblPr>
      <w:tblGrid>
        <w:gridCol w:w="2670"/>
        <w:gridCol w:w="1359"/>
        <w:gridCol w:w="1360"/>
        <w:gridCol w:w="1379"/>
        <w:gridCol w:w="1260"/>
        <w:gridCol w:w="1260"/>
      </w:tblGrid>
      <w:tr w:rsidR="003410C4" w:rsidRPr="00900CEB" w:rsidTr="002861A9">
        <w:trPr>
          <w:trHeight w:val="226"/>
        </w:trPr>
        <w:tc>
          <w:tcPr>
            <w:tcW w:w="267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rPr>
                <w:rFonts w:ascii="Arial" w:hAnsi="Arial" w:cs="Arial"/>
                <w:b/>
                <w:bCs/>
                <w:sz w:val="20"/>
                <w:szCs w:val="20"/>
              </w:rPr>
            </w:pPr>
            <w:r w:rsidRPr="002861A9">
              <w:rPr>
                <w:rFonts w:ascii="Arial" w:hAnsi="Arial" w:cs="Arial"/>
                <w:b/>
                <w:bCs/>
                <w:sz w:val="20"/>
                <w:szCs w:val="20"/>
              </w:rPr>
              <w:t> </w:t>
            </w:r>
          </w:p>
        </w:tc>
        <w:tc>
          <w:tcPr>
            <w:tcW w:w="135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ante price ($/GJ)</w:t>
            </w:r>
          </w:p>
        </w:tc>
        <w:tc>
          <w:tcPr>
            <w:tcW w:w="136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post price ($/GJ)</w:t>
            </w:r>
          </w:p>
        </w:tc>
        <w:tc>
          <w:tcPr>
            <w:tcW w:w="137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MOS payments ($000)</w:t>
            </w:r>
          </w:p>
        </w:tc>
        <w:tc>
          <w:tcPr>
            <w:tcW w:w="126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ante quantity (TJ)</w:t>
            </w:r>
          </w:p>
        </w:tc>
        <w:tc>
          <w:tcPr>
            <w:tcW w:w="126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post quantity (TJ)</w:t>
            </w:r>
          </w:p>
        </w:tc>
      </w:tr>
      <w:tr w:rsidR="000E16B0" w:rsidRPr="002861A9" w:rsidTr="002861A9">
        <w:trPr>
          <w:trHeight w:val="382"/>
        </w:trPr>
        <w:tc>
          <w:tcPr>
            <w:tcW w:w="267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13 Jan - 19 Jan 2013</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4.95</w:t>
            </w:r>
          </w:p>
        </w:tc>
        <w:tc>
          <w:tcPr>
            <w:tcW w:w="13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4.98</w:t>
            </w:r>
          </w:p>
        </w:tc>
        <w:tc>
          <w:tcPr>
            <w:tcW w:w="137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4.33</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50</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50</w:t>
            </w:r>
          </w:p>
        </w:tc>
      </w:tr>
      <w:tr w:rsidR="000E16B0" w:rsidRPr="002861A9" w:rsidTr="002861A9">
        <w:trPr>
          <w:trHeight w:val="382"/>
        </w:trPr>
        <w:tc>
          <w:tcPr>
            <w:tcW w:w="267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 change from previous week</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w:t>
            </w:r>
          </w:p>
        </w:tc>
        <w:tc>
          <w:tcPr>
            <w:tcW w:w="13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w:t>
            </w:r>
          </w:p>
        </w:tc>
        <w:tc>
          <w:tcPr>
            <w:tcW w:w="137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0</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w:t>
            </w:r>
          </w:p>
        </w:tc>
      </w:tr>
      <w:tr w:rsidR="000E16B0" w:rsidRPr="002861A9" w:rsidTr="002861A9">
        <w:trPr>
          <w:trHeight w:val="382"/>
        </w:trPr>
        <w:tc>
          <w:tcPr>
            <w:tcW w:w="267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12-13 financial YTD</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5.19</w:t>
            </w:r>
          </w:p>
        </w:tc>
        <w:tc>
          <w:tcPr>
            <w:tcW w:w="13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5.11</w:t>
            </w:r>
          </w:p>
        </w:tc>
        <w:tc>
          <w:tcPr>
            <w:tcW w:w="137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8.50</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72</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70</w:t>
            </w:r>
          </w:p>
        </w:tc>
      </w:tr>
      <w:tr w:rsidR="000E16B0" w:rsidRPr="002861A9" w:rsidTr="002861A9">
        <w:trPr>
          <w:trHeight w:val="382"/>
        </w:trPr>
        <w:tc>
          <w:tcPr>
            <w:tcW w:w="267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 change from previous financial YTD</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41</w:t>
            </w:r>
          </w:p>
        </w:tc>
        <w:tc>
          <w:tcPr>
            <w:tcW w:w="13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40</w:t>
            </w:r>
          </w:p>
        </w:tc>
        <w:tc>
          <w:tcPr>
            <w:tcW w:w="137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-20</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w:t>
            </w:r>
          </w:p>
        </w:tc>
        <w:tc>
          <w:tcPr>
            <w:tcW w:w="12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w:t>
            </w:r>
          </w:p>
        </w:tc>
      </w:tr>
    </w:tbl>
    <w:p w:rsidR="004B2256" w:rsidRDefault="004B2256" w:rsidP="004B2256">
      <w:pPr>
        <w:pStyle w:val="AERfigureheading-unnumbered"/>
        <w:numPr>
          <w:ilvl w:val="0"/>
          <w:numId w:val="0"/>
        </w:numPr>
        <w:tabs>
          <w:tab w:val="num" w:pos="1134"/>
        </w:tabs>
        <w:spacing w:before="120"/>
        <w:rPr>
          <w:rFonts w:ascii="Arial" w:hAnsi="Arial" w:cs="Arial"/>
          <w:sz w:val="20"/>
          <w:szCs w:val="20"/>
        </w:rPr>
      </w:pPr>
    </w:p>
    <w:p w:rsidR="005F18AD" w:rsidRPr="00900CEB" w:rsidRDefault="005F18AD" w:rsidP="000D1FEB">
      <w:pPr>
        <w:pStyle w:val="AERfigureheading-unnumbered"/>
        <w:tabs>
          <w:tab w:val="num" w:pos="1080"/>
        </w:tabs>
        <w:spacing w:before="120"/>
        <w:rPr>
          <w:rFonts w:ascii="Arial" w:hAnsi="Arial" w:cs="Arial"/>
          <w:sz w:val="20"/>
          <w:szCs w:val="20"/>
        </w:rPr>
      </w:pPr>
      <w:smartTag w:uri="urn:schemas-microsoft-com:office:smarttags" w:element="place">
        <w:smartTag w:uri="urn:schemas-microsoft-com:office:smarttags" w:element="City">
          <w:r w:rsidRPr="00900CEB">
            <w:rPr>
              <w:rFonts w:ascii="Arial" w:hAnsi="Arial" w:cs="Arial"/>
              <w:sz w:val="20"/>
              <w:szCs w:val="20"/>
            </w:rPr>
            <w:t>Brisbane</w:t>
          </w:r>
        </w:smartTag>
      </w:smartTag>
      <w:r w:rsidRPr="00900CEB">
        <w:rPr>
          <w:rFonts w:ascii="Arial" w:hAnsi="Arial" w:cs="Arial"/>
          <w:sz w:val="20"/>
          <w:szCs w:val="20"/>
        </w:rPr>
        <w:t xml:space="preserve"> STTM</w:t>
      </w:r>
      <w:r w:rsidR="00522E00" w:rsidRPr="00900CEB">
        <w:rPr>
          <w:rFonts w:ascii="Arial" w:hAnsi="Arial" w:cs="Arial"/>
          <w:sz w:val="20"/>
          <w:szCs w:val="20"/>
        </w:rPr>
        <w:t xml:space="preserve"> </w:t>
      </w:r>
    </w:p>
    <w:tbl>
      <w:tblPr>
        <w:tblW w:w="9208" w:type="dxa"/>
        <w:tblBorders>
          <w:top w:val="single" w:sz="12" w:space="0" w:color="auto"/>
          <w:bottom w:val="single" w:sz="4" w:space="0" w:color="auto"/>
        </w:tblBorders>
        <w:tblLayout w:type="fixed"/>
        <w:tblLook w:val="01E0"/>
      </w:tblPr>
      <w:tblGrid>
        <w:gridCol w:w="2670"/>
        <w:gridCol w:w="1359"/>
        <w:gridCol w:w="1360"/>
        <w:gridCol w:w="1359"/>
        <w:gridCol w:w="1280"/>
        <w:gridCol w:w="1180"/>
      </w:tblGrid>
      <w:tr w:rsidR="003410C4" w:rsidRPr="00900CEB" w:rsidTr="002861A9">
        <w:trPr>
          <w:trHeight w:val="226"/>
        </w:trPr>
        <w:tc>
          <w:tcPr>
            <w:tcW w:w="267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rPr>
                <w:rFonts w:ascii="Arial" w:hAnsi="Arial" w:cs="Arial"/>
                <w:b/>
                <w:bCs/>
                <w:sz w:val="20"/>
                <w:szCs w:val="20"/>
              </w:rPr>
            </w:pPr>
            <w:r w:rsidRPr="002861A9">
              <w:rPr>
                <w:rFonts w:ascii="Arial" w:hAnsi="Arial" w:cs="Arial"/>
                <w:b/>
                <w:bCs/>
                <w:sz w:val="20"/>
                <w:szCs w:val="20"/>
              </w:rPr>
              <w:t> </w:t>
            </w:r>
          </w:p>
        </w:tc>
        <w:tc>
          <w:tcPr>
            <w:tcW w:w="135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ante price ($/GJ)</w:t>
            </w:r>
          </w:p>
        </w:tc>
        <w:tc>
          <w:tcPr>
            <w:tcW w:w="136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post price ($/GJ)</w:t>
            </w:r>
          </w:p>
        </w:tc>
        <w:tc>
          <w:tcPr>
            <w:tcW w:w="135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MOS payments ($000)</w:t>
            </w:r>
          </w:p>
        </w:tc>
        <w:tc>
          <w:tcPr>
            <w:tcW w:w="128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ante quantity (TJ)</w:t>
            </w:r>
          </w:p>
        </w:tc>
        <w:tc>
          <w:tcPr>
            <w:tcW w:w="118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Ex post quantity (TJ)</w:t>
            </w:r>
          </w:p>
        </w:tc>
      </w:tr>
      <w:tr w:rsidR="000E16B0" w:rsidRPr="002861A9" w:rsidTr="002861A9">
        <w:trPr>
          <w:trHeight w:val="382"/>
        </w:trPr>
        <w:tc>
          <w:tcPr>
            <w:tcW w:w="267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13 Jan - 19 Jan 2013</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10.01</w:t>
            </w:r>
          </w:p>
        </w:tc>
        <w:tc>
          <w:tcPr>
            <w:tcW w:w="13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9.95</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1.27</w:t>
            </w:r>
          </w:p>
        </w:tc>
        <w:tc>
          <w:tcPr>
            <w:tcW w:w="128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157</w:t>
            </w:r>
          </w:p>
        </w:tc>
        <w:tc>
          <w:tcPr>
            <w:tcW w:w="118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159</w:t>
            </w:r>
          </w:p>
        </w:tc>
      </w:tr>
      <w:tr w:rsidR="000E16B0" w:rsidRPr="002861A9" w:rsidTr="002861A9">
        <w:trPr>
          <w:trHeight w:val="382"/>
        </w:trPr>
        <w:tc>
          <w:tcPr>
            <w:tcW w:w="267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 change from previous week</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49</w:t>
            </w:r>
          </w:p>
        </w:tc>
        <w:tc>
          <w:tcPr>
            <w:tcW w:w="13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68</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-45</w:t>
            </w:r>
          </w:p>
        </w:tc>
        <w:tc>
          <w:tcPr>
            <w:tcW w:w="128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3</w:t>
            </w:r>
          </w:p>
        </w:tc>
        <w:tc>
          <w:tcPr>
            <w:tcW w:w="118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11</w:t>
            </w:r>
          </w:p>
        </w:tc>
      </w:tr>
      <w:tr w:rsidR="000E16B0" w:rsidRPr="002861A9" w:rsidTr="002861A9">
        <w:trPr>
          <w:trHeight w:val="382"/>
        </w:trPr>
        <w:tc>
          <w:tcPr>
            <w:tcW w:w="2670" w:type="dxa"/>
            <w:noWrap/>
            <w:tcMar>
              <w:top w:w="0" w:type="dxa"/>
              <w:bottom w:w="0" w:type="dxa"/>
            </w:tcMar>
            <w:vAlign w:val="center"/>
          </w:tcPr>
          <w:p w:rsidR="000E16B0" w:rsidRDefault="000E16B0">
            <w:pPr>
              <w:rPr>
                <w:rFonts w:ascii="Arial" w:hAnsi="Arial" w:cs="Arial"/>
                <w:sz w:val="20"/>
                <w:szCs w:val="20"/>
              </w:rPr>
            </w:pPr>
            <w:r>
              <w:rPr>
                <w:rFonts w:ascii="Arial" w:hAnsi="Arial" w:cs="Arial"/>
                <w:sz w:val="20"/>
                <w:szCs w:val="20"/>
              </w:rPr>
              <w:t>12-13 financial YTD</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5.45</w:t>
            </w:r>
          </w:p>
        </w:tc>
        <w:tc>
          <w:tcPr>
            <w:tcW w:w="136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5.37</w:t>
            </w:r>
          </w:p>
        </w:tc>
        <w:tc>
          <w:tcPr>
            <w:tcW w:w="1359"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2.73</w:t>
            </w:r>
          </w:p>
        </w:tc>
        <w:tc>
          <w:tcPr>
            <w:tcW w:w="128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144</w:t>
            </w:r>
          </w:p>
        </w:tc>
        <w:tc>
          <w:tcPr>
            <w:tcW w:w="1180" w:type="dxa"/>
            <w:noWrap/>
            <w:tcMar>
              <w:top w:w="0" w:type="dxa"/>
              <w:bottom w:w="0" w:type="dxa"/>
            </w:tcMar>
            <w:vAlign w:val="center"/>
          </w:tcPr>
          <w:p w:rsidR="000E16B0" w:rsidRDefault="000E16B0">
            <w:pPr>
              <w:jc w:val="center"/>
              <w:rPr>
                <w:rFonts w:ascii="Arial" w:hAnsi="Arial" w:cs="Arial"/>
                <w:sz w:val="20"/>
                <w:szCs w:val="20"/>
              </w:rPr>
            </w:pPr>
            <w:r>
              <w:rPr>
                <w:rFonts w:ascii="Arial" w:hAnsi="Arial" w:cs="Arial"/>
                <w:sz w:val="20"/>
                <w:szCs w:val="20"/>
              </w:rPr>
              <w:t>143</w:t>
            </w:r>
          </w:p>
        </w:tc>
      </w:tr>
    </w:tbl>
    <w:p w:rsidR="00B24A61" w:rsidRPr="008D4DAB" w:rsidRDefault="00B24A61" w:rsidP="00B24A61">
      <w:pPr>
        <w:pStyle w:val="AERbodytext"/>
        <w:spacing w:before="120" w:after="120"/>
        <w:jc w:val="both"/>
      </w:pPr>
      <w:r>
        <w:t>M</w:t>
      </w:r>
      <w:r w:rsidRPr="008D4DAB">
        <w:t xml:space="preserve">ore </w:t>
      </w:r>
      <w:r>
        <w:t xml:space="preserve">detailed </w:t>
      </w:r>
      <w:r w:rsidRPr="008D4DAB">
        <w:t>analysis o</w:t>
      </w:r>
      <w:r>
        <w:t>f</w:t>
      </w:r>
      <w:r w:rsidRPr="008D4DAB">
        <w:t xml:space="preserve"> the STTM hubs </w:t>
      </w:r>
      <w:r>
        <w:t>is found in</w:t>
      </w:r>
      <w:r w:rsidRPr="008D4DAB">
        <w:t xml:space="preserve"> sections 2 to 4</w:t>
      </w:r>
      <w:r>
        <w:t>.</w:t>
      </w:r>
      <w:r w:rsidRPr="008D4DAB">
        <w:t xml:space="preserve"> </w:t>
      </w:r>
    </w:p>
    <w:p w:rsidR="00B24A61" w:rsidRPr="008D4DAB" w:rsidRDefault="00B24A61" w:rsidP="00B24A61">
      <w:pPr>
        <w:pStyle w:val="AERbodytext"/>
        <w:spacing w:before="120" w:after="120"/>
        <w:jc w:val="both"/>
      </w:pPr>
      <w:r w:rsidRPr="008D4DAB">
        <w:t>Section 5 provides analysis on production and pipeline flows on the National Gas Bulletin Board, as well as gas-powered generation volumes in each state.</w:t>
      </w:r>
    </w:p>
    <w:p w:rsidR="0006609A" w:rsidRPr="002A5634" w:rsidRDefault="0006609A" w:rsidP="0006609A">
      <w:pPr>
        <w:pStyle w:val="AERunnumberedheading3"/>
        <w:rPr>
          <w:rFonts w:eastAsia="MS Mincho"/>
        </w:rPr>
      </w:pPr>
      <w:r w:rsidRPr="002A5634">
        <w:rPr>
          <w:rFonts w:eastAsia="MS Mincho"/>
        </w:rPr>
        <w:t>Significant Ma</w:t>
      </w:r>
      <w:r w:rsidR="00FF2760">
        <w:rPr>
          <w:rFonts w:eastAsia="MS Mincho"/>
        </w:rPr>
        <w:t>rket Events or Issues this week</w:t>
      </w:r>
    </w:p>
    <w:p w:rsidR="00F4093F" w:rsidRDefault="00585B36" w:rsidP="006D1DBE">
      <w:pPr>
        <w:spacing w:before="120" w:after="120"/>
        <w:jc w:val="both"/>
        <w:rPr>
          <w:rFonts w:eastAsia="MS Mincho"/>
        </w:rPr>
      </w:pPr>
      <w:r>
        <w:rPr>
          <w:rFonts w:eastAsia="MS Mincho"/>
        </w:rPr>
        <w:t xml:space="preserve">In the Brisbane hub, prices rose to record </w:t>
      </w:r>
      <w:r w:rsidR="00FD2DC7">
        <w:rPr>
          <w:rFonts w:eastAsia="MS Mincho"/>
        </w:rPr>
        <w:t>levels</w:t>
      </w:r>
      <w:r>
        <w:rPr>
          <w:rFonts w:eastAsia="MS Mincho"/>
        </w:rPr>
        <w:t xml:space="preserve">. </w:t>
      </w:r>
      <w:r w:rsidR="00B40122">
        <w:rPr>
          <w:rFonts w:eastAsia="MS Mincho"/>
        </w:rPr>
        <w:t>This</w:t>
      </w:r>
      <w:r>
        <w:rPr>
          <w:rFonts w:eastAsia="MS Mincho"/>
        </w:rPr>
        <w:t xml:space="preserve"> </w:t>
      </w:r>
      <w:r w:rsidR="00B40122">
        <w:rPr>
          <w:rFonts w:eastAsia="MS Mincho"/>
        </w:rPr>
        <w:t>increase</w:t>
      </w:r>
      <w:r>
        <w:rPr>
          <w:rFonts w:eastAsia="MS Mincho"/>
        </w:rPr>
        <w:t xml:space="preserve"> in price </w:t>
      </w:r>
      <w:r w:rsidR="001D1E40">
        <w:rPr>
          <w:rFonts w:eastAsia="MS Mincho"/>
        </w:rPr>
        <w:t xml:space="preserve">occurred as </w:t>
      </w:r>
      <w:r w:rsidR="0016732C">
        <w:rPr>
          <w:rFonts w:eastAsia="MS Mincho"/>
        </w:rPr>
        <w:t>all</w:t>
      </w:r>
      <w:r w:rsidR="001D1E40">
        <w:rPr>
          <w:rFonts w:eastAsia="MS Mincho"/>
        </w:rPr>
        <w:t xml:space="preserve"> major participants repriced</w:t>
      </w:r>
      <w:r>
        <w:rPr>
          <w:rFonts w:eastAsia="MS Mincho"/>
        </w:rPr>
        <w:t xml:space="preserve"> their offers into higher price bands</w:t>
      </w:r>
      <w:r w:rsidR="0016732C">
        <w:rPr>
          <w:rFonts w:eastAsia="MS Mincho"/>
        </w:rPr>
        <w:t xml:space="preserve"> from 10 January</w:t>
      </w:r>
      <w:r>
        <w:rPr>
          <w:rFonts w:eastAsia="MS Mincho"/>
        </w:rPr>
        <w:t xml:space="preserve">. </w:t>
      </w:r>
      <w:r w:rsidR="001D1E40">
        <w:rPr>
          <w:rFonts w:eastAsia="MS Mincho"/>
        </w:rPr>
        <w:t xml:space="preserve">Increases in prices over the week, from $8.45/GJ on Sunday up to $12.50/GJ on Thursday coincided with a slight reduction in offers priced under $10/GJ (relative to demand) later in the week. </w:t>
      </w:r>
      <w:r w:rsidR="00F4093F">
        <w:rPr>
          <w:rFonts w:eastAsia="MS Mincho"/>
        </w:rPr>
        <w:t xml:space="preserve">In particular, compared to offers </w:t>
      </w:r>
      <w:r w:rsidR="00ED18CE">
        <w:rPr>
          <w:rFonts w:eastAsia="MS Mincho"/>
        </w:rPr>
        <w:t xml:space="preserve">on days when there were </w:t>
      </w:r>
      <w:r w:rsidR="00F4093F">
        <w:rPr>
          <w:rFonts w:eastAsia="MS Mincho"/>
        </w:rPr>
        <w:t>similar levels of individual forecast demand</w:t>
      </w:r>
      <w:r w:rsidR="00ED18CE">
        <w:rPr>
          <w:rFonts w:eastAsia="MS Mincho"/>
        </w:rPr>
        <w:t xml:space="preserve">, </w:t>
      </w:r>
      <w:r w:rsidR="00FC56A5">
        <w:rPr>
          <w:rFonts w:eastAsia="MS Mincho"/>
        </w:rPr>
        <w:t xml:space="preserve">AGL, Stanwell and BP </w:t>
      </w:r>
      <w:r w:rsidR="00F4093F">
        <w:rPr>
          <w:rFonts w:eastAsia="MS Mincho"/>
        </w:rPr>
        <w:t xml:space="preserve">all reduced their gas supply </w:t>
      </w:r>
      <w:r w:rsidR="00FC56A5">
        <w:rPr>
          <w:rFonts w:eastAsia="MS Mincho"/>
        </w:rPr>
        <w:t>offers in lower price bands (i.e. under $8 or $10/GJ)</w:t>
      </w:r>
      <w:r w:rsidR="00F4093F">
        <w:rPr>
          <w:rFonts w:eastAsia="MS Mincho"/>
        </w:rPr>
        <w:t>.</w:t>
      </w:r>
      <w:r w:rsidR="00FC56A5">
        <w:rPr>
          <w:rFonts w:eastAsia="MS Mincho"/>
        </w:rPr>
        <w:t xml:space="preserve"> </w:t>
      </w:r>
    </w:p>
    <w:p w:rsidR="00243F6D" w:rsidRDefault="00CC40EE" w:rsidP="006D1DBE">
      <w:pPr>
        <w:spacing w:before="120" w:after="120"/>
        <w:jc w:val="both"/>
        <w:rPr>
          <w:rFonts w:eastAsia="MS Mincho"/>
        </w:rPr>
      </w:pPr>
      <w:r>
        <w:rPr>
          <w:rFonts w:eastAsia="MS Mincho"/>
        </w:rPr>
        <w:t>Changed o</w:t>
      </w:r>
      <w:r w:rsidR="00F4093F">
        <w:rPr>
          <w:rFonts w:eastAsia="MS Mincho"/>
        </w:rPr>
        <w:t xml:space="preserve">ffer </w:t>
      </w:r>
      <w:r>
        <w:rPr>
          <w:rFonts w:eastAsia="MS Mincho"/>
        </w:rPr>
        <w:t xml:space="preserve">patterns </w:t>
      </w:r>
      <w:r w:rsidR="006D1DBE">
        <w:rPr>
          <w:rFonts w:eastAsia="MS Mincho"/>
        </w:rPr>
        <w:t xml:space="preserve">may have been </w:t>
      </w:r>
      <w:r w:rsidR="00F4093F">
        <w:rPr>
          <w:rFonts w:eastAsia="MS Mincho"/>
        </w:rPr>
        <w:t xml:space="preserve">in part </w:t>
      </w:r>
      <w:r w:rsidR="00B40122">
        <w:rPr>
          <w:rFonts w:eastAsia="MS Mincho"/>
        </w:rPr>
        <w:t>a response to high electricity prices</w:t>
      </w:r>
      <w:r w:rsidR="0016732C">
        <w:rPr>
          <w:rFonts w:eastAsia="MS Mincho"/>
        </w:rPr>
        <w:t xml:space="preserve"> in the Queensland region</w:t>
      </w:r>
      <w:r w:rsidR="006D1DBE">
        <w:rPr>
          <w:rFonts w:eastAsia="MS Mincho"/>
        </w:rPr>
        <w:t>. National Electricity market data indicate more gas volumes were shipped</w:t>
      </w:r>
      <w:r w:rsidR="0016732C">
        <w:rPr>
          <w:rFonts w:eastAsia="MS Mincho"/>
        </w:rPr>
        <w:t xml:space="preserve"> along </w:t>
      </w:r>
      <w:r w:rsidR="00FD2DC7">
        <w:rPr>
          <w:rFonts w:eastAsia="MS Mincho"/>
        </w:rPr>
        <w:t>the Roma-Brisbane Pipeline (RBP)</w:t>
      </w:r>
      <w:r w:rsidR="006D1DBE">
        <w:rPr>
          <w:rFonts w:eastAsia="MS Mincho"/>
        </w:rPr>
        <w:t xml:space="preserve"> into gas-powered generators (GPG</w:t>
      </w:r>
      <w:r w:rsidR="00DC242D">
        <w:rPr>
          <w:rFonts w:eastAsia="MS Mincho"/>
        </w:rPr>
        <w:t>s</w:t>
      </w:r>
      <w:r w:rsidR="006D1DBE">
        <w:rPr>
          <w:rFonts w:eastAsia="MS Mincho"/>
        </w:rPr>
        <w:t>) such as Oakey Power Station</w:t>
      </w:r>
      <w:r w:rsidR="0016732C">
        <w:rPr>
          <w:rFonts w:eastAsia="MS Mincho"/>
        </w:rPr>
        <w:t>.</w:t>
      </w:r>
      <w:r w:rsidR="006D1DBE">
        <w:rPr>
          <w:rFonts w:eastAsia="MS Mincho"/>
        </w:rPr>
        <w:t xml:space="preserve"> The flow of extra gas through the RBP to GPGs outside the Brisbane hub may have impacted on pipeline costs for delivery of gas to the hub, with these impacts being passed on through higher offer prices. Brisbane outcomes will be reported on further next week. </w:t>
      </w:r>
      <w:r w:rsidR="0016732C">
        <w:rPr>
          <w:rFonts w:eastAsia="MS Mincho"/>
        </w:rPr>
        <w:t xml:space="preserve"> </w:t>
      </w:r>
    </w:p>
    <w:p w:rsidR="005F18AD" w:rsidRPr="00243F6D" w:rsidRDefault="005F18AD" w:rsidP="00FF2760">
      <w:pPr>
        <w:spacing w:before="120" w:after="120"/>
        <w:jc w:val="both"/>
        <w:rPr>
          <w:rFonts w:eastAsia="MS Mincho"/>
        </w:rPr>
      </w:pPr>
      <w:r w:rsidRPr="00A0223D">
        <w:br w:type="column"/>
      </w:r>
      <w:bookmarkStart w:id="2" w:name="OLE_LINK7"/>
      <w:bookmarkStart w:id="3" w:name="OLE_LINK8"/>
      <w:r w:rsidR="003A12A5">
        <w:lastRenderedPageBreak/>
        <w:pict>
          <v:shape id="_x0000_i1026" type="#_x0000_t75" style="width:503.2pt;height:1in" o:allowoverlap="f">
            <v:imagedata r:id="rId8" o:title="" cropbottom="17873f" cropright="30275f"/>
          </v:shape>
        </w:pict>
      </w:r>
      <w:bookmarkEnd w:id="2"/>
      <w:bookmarkEnd w:id="3"/>
    </w:p>
    <w:p w:rsidR="005F18AD" w:rsidRDefault="006B5D97" w:rsidP="00875D0C">
      <w:pPr>
        <w:pStyle w:val="AERunnumberedheading3"/>
        <w:spacing w:before="120"/>
        <w:rPr>
          <w:rFonts w:ascii="Times New Roman" w:hAnsi="Times New Roman"/>
          <w:b/>
          <w:sz w:val="28"/>
          <w:szCs w:val="28"/>
        </w:rPr>
      </w:pPr>
      <w:r>
        <w:rPr>
          <w:rFonts w:ascii="Times New Roman" w:hAnsi="Times New Roman"/>
          <w:b/>
          <w:sz w:val="28"/>
          <w:szCs w:val="28"/>
        </w:rPr>
        <w:pict>
          <v:shape id="_x0000_s1030" type="#_x0000_t202" style="position:absolute;margin-left:0;margin-top:-42pt;width:225pt;height:30pt;z-index:251658240" filled="f" stroked="f">
            <v:textbox style="mso-next-textbox:#_x0000_s1030">
              <w:txbxContent>
                <w:p w:rsidR="00FA56EA" w:rsidRPr="00A65EC8" w:rsidRDefault="00FA56EA" w:rsidP="00B24A61">
                  <w:pPr>
                    <w:spacing w:before="140"/>
                    <w:rPr>
                      <w:b/>
                    </w:rPr>
                  </w:pPr>
                  <w:r>
                    <w:rPr>
                      <w:b/>
                    </w:rPr>
                    <w:t xml:space="preserve"> 13 – 19 January 2013</w:t>
                  </w:r>
                </w:p>
                <w:p w:rsidR="00FA56EA" w:rsidRPr="007F372A" w:rsidRDefault="00FA56EA" w:rsidP="00BD60AA">
                  <w:pPr>
                    <w:spacing w:before="220"/>
                    <w:ind w:left="-181" w:firstLine="181"/>
                    <w:rPr>
                      <w:b/>
                    </w:rPr>
                  </w:pPr>
                </w:p>
              </w:txbxContent>
            </v:textbox>
          </v:shape>
        </w:pict>
      </w:r>
      <w:r>
        <w:rPr>
          <w:rFonts w:ascii="Times New Roman" w:hAnsi="Times New Roman"/>
          <w:b/>
          <w:sz w:val="28"/>
          <w:szCs w:val="28"/>
        </w:rPr>
        <w:pict>
          <v:shape id="_x0000_s1031" type="#_x0000_t202" style="position:absolute;margin-left:0;margin-top:-96pt;width:234pt;height:47.35pt;z-index:251659264" filled="f" stroked="f">
            <v:textbox style="mso-next-textbox:#_x0000_s1031">
              <w:txbxContent>
                <w:p w:rsidR="00FA56EA" w:rsidRDefault="00FA56EA" w:rsidP="005F18AD">
                  <w:pPr>
                    <w:rPr>
                      <w:rFonts w:ascii="Arial" w:hAnsi="Arial" w:cs="Arial"/>
                      <w:b/>
                      <w:color w:val="FFFFFF"/>
                      <w:sz w:val="32"/>
                      <w:szCs w:val="32"/>
                    </w:rPr>
                  </w:pPr>
                </w:p>
                <w:p w:rsidR="00FA56EA" w:rsidRPr="007C13A5" w:rsidRDefault="00FA56EA" w:rsidP="005F18AD">
                  <w:pPr>
                    <w:rPr>
                      <w:rFonts w:ascii="Arial" w:hAnsi="Arial" w:cs="Arial"/>
                      <w:b/>
                      <w:color w:val="FFFFFF"/>
                      <w:sz w:val="32"/>
                      <w:szCs w:val="32"/>
                    </w:rPr>
                  </w:pPr>
                  <w:r w:rsidRPr="007C13A5">
                    <w:rPr>
                      <w:rFonts w:ascii="Arial" w:hAnsi="Arial" w:cs="Arial"/>
                      <w:b/>
                      <w:color w:val="FFFFFF"/>
                      <w:sz w:val="32"/>
                      <w:szCs w:val="32"/>
                    </w:rPr>
                    <w:t>Detailed Market Analysis</w:t>
                  </w:r>
                </w:p>
              </w:txbxContent>
            </v:textbox>
          </v:shape>
        </w:pict>
      </w:r>
      <w:r w:rsidR="005F18AD" w:rsidRPr="008133CF">
        <w:rPr>
          <w:rFonts w:ascii="Times New Roman" w:hAnsi="Times New Roman"/>
          <w:b/>
          <w:sz w:val="28"/>
          <w:szCs w:val="28"/>
        </w:rPr>
        <w:t>1</w:t>
      </w:r>
      <w:r w:rsidR="005F18AD" w:rsidRPr="008133CF">
        <w:rPr>
          <w:rFonts w:ascii="Times New Roman" w:hAnsi="Times New Roman"/>
          <w:b/>
          <w:sz w:val="28"/>
          <w:szCs w:val="28"/>
        </w:rPr>
        <w:tab/>
        <w:t>Victorian Declared Wholesale Market</w:t>
      </w:r>
    </w:p>
    <w:p w:rsidR="00B24A61" w:rsidRDefault="00B24A61" w:rsidP="00B24A61">
      <w:pPr>
        <w:pStyle w:val="AERbodytext"/>
        <w:spacing w:before="120" w:after="120"/>
        <w:jc w:val="both"/>
      </w:pPr>
      <w:r>
        <w:t>In the Victorian Gas Market gas is priced five times daily at 6</w:t>
      </w:r>
      <w:r w:rsidR="00C859CC">
        <w:t> </w:t>
      </w:r>
      <w:r>
        <w:t>am, 10</w:t>
      </w:r>
      <w:r w:rsidR="00C859CC">
        <w:t> </w:t>
      </w:r>
      <w:r>
        <w:t>am, 2</w:t>
      </w:r>
      <w:r w:rsidR="00C859CC">
        <w:t> </w:t>
      </w:r>
      <w:r>
        <w:t>pm, 6</w:t>
      </w:r>
      <w:r w:rsidR="00C859CC">
        <w:t> </w:t>
      </w:r>
      <w:r>
        <w:t>pm and 10</w:t>
      </w:r>
      <w:r w:rsidR="00C859CC">
        <w:t> </w:t>
      </w:r>
      <w:r>
        <w:t>pm. However, the volume weighted gas price on a gas day tends towards the 6</w:t>
      </w:r>
      <w:r w:rsidR="00C859CC">
        <w:t> </w:t>
      </w:r>
      <w:r>
        <w:t xml:space="preserve">am price which is the schedule at which most gas is traded. </w:t>
      </w:r>
    </w:p>
    <w:p w:rsidR="00B24A61" w:rsidRDefault="00E74D68" w:rsidP="00B24A61">
      <w:pPr>
        <w:pStyle w:val="AERbodytext"/>
        <w:spacing w:before="120" w:after="120"/>
        <w:jc w:val="both"/>
      </w:pPr>
      <w:r w:rsidRPr="00DB727F">
        <w:t>The main drivers of price are demand forecasts together with bids to inject or withdraw gas from the market.</w:t>
      </w:r>
      <w:r w:rsidRPr="00DB727F">
        <w:rPr>
          <w:rStyle w:val="FootnoteReference"/>
        </w:rPr>
        <w:t xml:space="preserve"> </w:t>
      </w:r>
      <w:r w:rsidRPr="00DB727F">
        <w:t>For each of the five gas day pricing schedules, figures 1.1 to 1.4 below show the daily prices, demand forecasts</w:t>
      </w:r>
      <w:r w:rsidRPr="00DB727F">
        <w:rPr>
          <w:rStyle w:val="FootnoteReference"/>
        </w:rPr>
        <w:footnoteReference w:id="2"/>
      </w:r>
      <w:r w:rsidRPr="00DB727F">
        <w:t>, and injection/withdrawal bids</w:t>
      </w:r>
      <w:r w:rsidRPr="00DB727F">
        <w:rPr>
          <w:rStyle w:val="FootnoteReference"/>
        </w:rPr>
        <w:footnoteReference w:id="3"/>
      </w:r>
      <w:r w:rsidRPr="00DB727F">
        <w:t>. Figure 1.5 provides information on which system injection points were used to deliver gas, in turn indicating the location and relative quantity of gas bids cleared through the market. Gas is priced five times daily (at 6</w:t>
      </w:r>
      <w:r w:rsidR="00A55C96">
        <w:t> am</w:t>
      </w:r>
      <w:r w:rsidRPr="00DB727F">
        <w:t>, 10</w:t>
      </w:r>
      <w:r w:rsidR="00A55C96">
        <w:t> am</w:t>
      </w:r>
      <w:r w:rsidRPr="00DB727F">
        <w:t>, 2</w:t>
      </w:r>
      <w:r w:rsidR="00A55C96">
        <w:t> pm</w:t>
      </w:r>
      <w:r w:rsidRPr="00DB727F">
        <w:t>, 6</w:t>
      </w:r>
      <w:r w:rsidR="00A55C96">
        <w:t> pm</w:t>
      </w:r>
      <w:r w:rsidRPr="00DB727F">
        <w:t xml:space="preserve"> and 10</w:t>
      </w:r>
      <w:r w:rsidR="00A55C96">
        <w:t> pm</w:t>
      </w:r>
      <w:r w:rsidRPr="00DB727F">
        <w:t>) when the first schedule and four reschedules apply, while the last 8</w:t>
      </w:r>
      <w:r w:rsidRPr="00DB727F">
        <w:noBreakHyphen/>
        <w:t>hour schedule has been separated into two 4</w:t>
      </w:r>
      <w:r w:rsidRPr="00DB727F">
        <w:noBreakHyphen/>
        <w:t>hour blocks for a consistent comparison with other scheduled injection volumes.  The main drivers of price are demand forecasts and gas bids.</w:t>
      </w:r>
      <w:r w:rsidRPr="00DB727F">
        <w:rPr>
          <w:rStyle w:val="FootnoteReference"/>
        </w:rPr>
        <w:footnoteReference w:id="4"/>
      </w:r>
      <w:r w:rsidR="00B24A61" w:rsidRPr="00CC4A35">
        <w:rPr>
          <w:rStyle w:val="FootnoteReference"/>
        </w:rPr>
        <w:t xml:space="preserve"> </w:t>
      </w:r>
    </w:p>
    <w:p w:rsidR="005F18AD" w:rsidRPr="000E16B0" w:rsidRDefault="005F18AD" w:rsidP="009B2F99">
      <w:pPr>
        <w:pStyle w:val="AERfigureheading"/>
        <w:numPr>
          <w:ilvl w:val="5"/>
          <w:numId w:val="16"/>
        </w:numPr>
        <w:rPr>
          <w:rFonts w:ascii="Arial" w:hAnsi="Arial" w:cs="Arial"/>
          <w:sz w:val="20"/>
          <w:szCs w:val="20"/>
        </w:rPr>
      </w:pPr>
      <w:r w:rsidRPr="000E16B0">
        <w:rPr>
          <w:rFonts w:ascii="Arial" w:hAnsi="Arial" w:cs="Arial"/>
          <w:sz w:val="20"/>
          <w:szCs w:val="20"/>
        </w:rPr>
        <w:t xml:space="preserve">Prices by schedule </w:t>
      </w:r>
    </w:p>
    <w:p w:rsidR="005F18AD" w:rsidRPr="00767397" w:rsidRDefault="003A12A5" w:rsidP="006C6D60">
      <w:pPr>
        <w:pStyle w:val="AERbodytext"/>
        <w:spacing w:before="120"/>
        <w:jc w:val="center"/>
      </w:pPr>
      <w:r>
        <w:pict>
          <v:shape id="_x0000_i1027" type="#_x0000_t75" style="width:476.3pt;height:137.25pt">
            <v:imagedata r:id="rId11" o:title=""/>
          </v:shape>
        </w:pict>
      </w:r>
    </w:p>
    <w:p w:rsidR="005F18AD" w:rsidRPr="000E16B0" w:rsidRDefault="005F18AD" w:rsidP="00DA3AAA">
      <w:pPr>
        <w:pStyle w:val="AERfigureheading"/>
        <w:tabs>
          <w:tab w:val="clear" w:pos="1361"/>
          <w:tab w:val="num" w:pos="1260"/>
        </w:tabs>
        <w:spacing w:before="120"/>
        <w:ind w:left="1260" w:hanging="1260"/>
        <w:rPr>
          <w:rFonts w:ascii="Arial" w:hAnsi="Arial" w:cs="Arial"/>
          <w:sz w:val="20"/>
          <w:szCs w:val="20"/>
        </w:rPr>
      </w:pPr>
      <w:r w:rsidRPr="000E16B0">
        <w:rPr>
          <w:rFonts w:ascii="Arial" w:hAnsi="Arial" w:cs="Arial"/>
          <w:sz w:val="20"/>
          <w:szCs w:val="20"/>
        </w:rPr>
        <w:t xml:space="preserve">Demand </w:t>
      </w:r>
      <w:r w:rsidR="001452B3" w:rsidRPr="000E16B0">
        <w:rPr>
          <w:rFonts w:ascii="Arial" w:hAnsi="Arial" w:cs="Arial"/>
          <w:sz w:val="20"/>
          <w:szCs w:val="20"/>
        </w:rPr>
        <w:t>f</w:t>
      </w:r>
      <w:r w:rsidRPr="000E16B0">
        <w:rPr>
          <w:rFonts w:ascii="Arial" w:hAnsi="Arial" w:cs="Arial"/>
          <w:sz w:val="20"/>
          <w:szCs w:val="20"/>
        </w:rPr>
        <w:t>orecasts</w:t>
      </w:r>
      <w:r w:rsidR="008133CF" w:rsidRPr="000E16B0">
        <w:rPr>
          <w:rFonts w:ascii="Arial" w:hAnsi="Arial" w:cs="Arial"/>
          <w:sz w:val="20"/>
          <w:szCs w:val="20"/>
        </w:rPr>
        <w:t xml:space="preserve"> </w:t>
      </w:r>
    </w:p>
    <w:p w:rsidR="005F18AD" w:rsidRPr="00767397" w:rsidRDefault="003A12A5" w:rsidP="006C6D60">
      <w:pPr>
        <w:pStyle w:val="AERbodytext"/>
        <w:spacing w:before="120" w:after="0"/>
        <w:jc w:val="center"/>
      </w:pPr>
      <w:r>
        <w:pict>
          <v:shape id="_x0000_i1028" type="#_x0000_t75" style="width:475.1pt;height:176.85pt">
            <v:imagedata r:id="rId12" o:title=""/>
          </v:shape>
        </w:pict>
      </w:r>
    </w:p>
    <w:p w:rsidR="001A5C1A" w:rsidRPr="000E16B0" w:rsidRDefault="001A5C1A" w:rsidP="00B24A61">
      <w:pPr>
        <w:pStyle w:val="AERfigureheading"/>
        <w:tabs>
          <w:tab w:val="clear" w:pos="1361"/>
          <w:tab w:val="num" w:pos="1260"/>
        </w:tabs>
        <w:spacing w:before="120"/>
        <w:ind w:left="1260" w:hanging="1260"/>
        <w:rPr>
          <w:rFonts w:ascii="Arial" w:hAnsi="Arial" w:cs="Arial"/>
          <w:sz w:val="20"/>
          <w:szCs w:val="20"/>
        </w:rPr>
      </w:pPr>
      <w:r w:rsidRPr="000E16B0">
        <w:rPr>
          <w:rFonts w:ascii="Arial" w:hAnsi="Arial" w:cs="Arial"/>
          <w:sz w:val="20"/>
          <w:szCs w:val="20"/>
        </w:rPr>
        <w:t>Injection bids by price bands</w:t>
      </w:r>
    </w:p>
    <w:p w:rsidR="00A26940" w:rsidRPr="00767397" w:rsidRDefault="003A12A5" w:rsidP="006C6D60">
      <w:pPr>
        <w:pStyle w:val="AERbodytext"/>
        <w:spacing w:before="120" w:after="0"/>
        <w:jc w:val="center"/>
      </w:pPr>
      <w:r>
        <w:pict>
          <v:shape id="_x0000_i1029" type="#_x0000_t75" style="width:475.1pt;height:220.75pt">
            <v:imagedata r:id="rId13" o:title=""/>
          </v:shape>
        </w:pict>
      </w:r>
    </w:p>
    <w:p w:rsidR="00372976" w:rsidRPr="000E16B0" w:rsidRDefault="00372976" w:rsidP="00B24A61">
      <w:pPr>
        <w:pStyle w:val="AERfigureheading"/>
        <w:tabs>
          <w:tab w:val="clear" w:pos="1361"/>
          <w:tab w:val="num" w:pos="1260"/>
        </w:tabs>
        <w:spacing w:before="120"/>
        <w:ind w:left="1260" w:hanging="1260"/>
        <w:rPr>
          <w:rFonts w:ascii="Arial" w:hAnsi="Arial" w:cs="Arial"/>
          <w:sz w:val="20"/>
          <w:szCs w:val="20"/>
        </w:rPr>
      </w:pPr>
      <w:r w:rsidRPr="000E16B0">
        <w:rPr>
          <w:rFonts w:ascii="Arial" w:hAnsi="Arial" w:cs="Arial"/>
          <w:sz w:val="20"/>
          <w:szCs w:val="20"/>
        </w:rPr>
        <w:t>Withdrawal bids by price bands</w:t>
      </w:r>
    </w:p>
    <w:p w:rsidR="00BE4577" w:rsidRPr="00767397" w:rsidRDefault="003A12A5" w:rsidP="006C6D60">
      <w:pPr>
        <w:pStyle w:val="AERbodytext"/>
        <w:jc w:val="center"/>
      </w:pPr>
      <w:r>
        <w:pict>
          <v:shape id="_x0000_i1030" type="#_x0000_t75" style="width:475.5pt;height:173.25pt">
            <v:imagedata r:id="rId14" o:title=""/>
          </v:shape>
        </w:pict>
      </w:r>
    </w:p>
    <w:p w:rsidR="00A26940" w:rsidRPr="000E16B0" w:rsidRDefault="00B24A61" w:rsidP="00BE4577">
      <w:pPr>
        <w:pStyle w:val="AERfigureheading"/>
        <w:rPr>
          <w:rFonts w:ascii="Arial" w:hAnsi="Arial" w:cs="Arial"/>
          <w:sz w:val="20"/>
          <w:szCs w:val="20"/>
        </w:rPr>
      </w:pPr>
      <w:r w:rsidRPr="000E16B0">
        <w:rPr>
          <w:rFonts w:ascii="Arial" w:hAnsi="Arial" w:cs="Arial"/>
          <w:sz w:val="20"/>
          <w:szCs w:val="20"/>
        </w:rPr>
        <w:t xml:space="preserve">Metered </w:t>
      </w:r>
      <w:r w:rsidR="00652A42" w:rsidRPr="000E16B0">
        <w:rPr>
          <w:rFonts w:ascii="Arial" w:hAnsi="Arial" w:cs="Arial"/>
          <w:sz w:val="20"/>
          <w:szCs w:val="20"/>
        </w:rPr>
        <w:t>I</w:t>
      </w:r>
      <w:r w:rsidR="00A26940" w:rsidRPr="000E16B0">
        <w:rPr>
          <w:rFonts w:ascii="Arial" w:hAnsi="Arial" w:cs="Arial"/>
          <w:sz w:val="20"/>
          <w:szCs w:val="20"/>
        </w:rPr>
        <w:t xml:space="preserve">njections </w:t>
      </w:r>
      <w:r w:rsidR="008F4EAE" w:rsidRPr="000E16B0">
        <w:rPr>
          <w:rFonts w:ascii="Arial" w:hAnsi="Arial" w:cs="Arial"/>
          <w:sz w:val="20"/>
          <w:szCs w:val="20"/>
        </w:rPr>
        <w:t xml:space="preserve">by </w:t>
      </w:r>
      <w:r w:rsidRPr="000E16B0">
        <w:rPr>
          <w:rFonts w:ascii="Arial" w:hAnsi="Arial" w:cs="Arial"/>
          <w:sz w:val="20"/>
          <w:szCs w:val="20"/>
        </w:rPr>
        <w:t xml:space="preserve">System Injection Point </w:t>
      </w:r>
    </w:p>
    <w:p w:rsidR="0006609A" w:rsidRPr="00767397" w:rsidRDefault="003A12A5" w:rsidP="006C6D60">
      <w:pPr>
        <w:pStyle w:val="AERbodytext"/>
        <w:spacing w:before="120"/>
        <w:jc w:val="center"/>
        <w:sectPr w:rsidR="0006609A" w:rsidRPr="00767397" w:rsidSect="00FD7231">
          <w:footerReference w:type="default" r:id="rId15"/>
          <w:pgSz w:w="11907" w:h="16840" w:code="9"/>
          <w:pgMar w:top="720" w:right="1021" w:bottom="737" w:left="1361" w:header="851" w:footer="255" w:gutter="0"/>
          <w:pgBorders w:offsetFrom="page">
            <w:top w:val="none" w:sz="0" w:space="0" w:color="000000"/>
            <w:left w:val="none" w:sz="0" w:space="0" w:color="000000"/>
            <w:bottom w:val="none" w:sz="0" w:space="0" w:color="000000"/>
            <w:right w:val="none" w:sz="0" w:space="0" w:color="000000"/>
          </w:pgBorders>
          <w:cols w:space="720"/>
        </w:sectPr>
      </w:pPr>
      <w:r>
        <w:pict>
          <v:shape id="_x0000_i1031" type="#_x0000_t75" style="width:475.1pt;height:179.2pt">
            <v:imagedata r:id="rId16" o:title=""/>
          </v:shape>
        </w:pict>
      </w:r>
    </w:p>
    <w:p w:rsidR="00A26940" w:rsidRPr="00C566BE" w:rsidRDefault="00A26940" w:rsidP="006C6D60">
      <w:pPr>
        <w:pStyle w:val="AERbodytext"/>
        <w:spacing w:before="120"/>
        <w:jc w:val="center"/>
        <w:rPr>
          <w:i/>
        </w:rPr>
      </w:pPr>
    </w:p>
    <w:p w:rsidR="005F18AD" w:rsidRDefault="005F18AD" w:rsidP="00372976">
      <w:pPr>
        <w:pStyle w:val="AERheading1"/>
        <w:pageBreakBefore w:val="0"/>
        <w:spacing w:before="120"/>
        <w:rPr>
          <w:rFonts w:ascii="Times New Roman" w:hAnsi="Times New Roman" w:cs="Times New Roman"/>
          <w:sz w:val="28"/>
          <w:szCs w:val="28"/>
        </w:rPr>
      </w:pPr>
      <w:smartTag w:uri="urn:schemas-microsoft-com:office:smarttags" w:element="place">
        <w:smartTag w:uri="urn:schemas-microsoft-com:office:smarttags" w:element="City">
          <w:r w:rsidRPr="000F3B46">
            <w:rPr>
              <w:rFonts w:ascii="Times New Roman" w:hAnsi="Times New Roman" w:cs="Times New Roman"/>
              <w:sz w:val="28"/>
              <w:szCs w:val="28"/>
            </w:rPr>
            <w:t>Sydney</w:t>
          </w:r>
        </w:smartTag>
      </w:smartTag>
      <w:r w:rsidRPr="000F3B46">
        <w:rPr>
          <w:rFonts w:ascii="Times New Roman" w:hAnsi="Times New Roman" w:cs="Times New Roman"/>
          <w:sz w:val="28"/>
          <w:szCs w:val="28"/>
        </w:rPr>
        <w:t xml:space="preserve"> STTM</w:t>
      </w:r>
    </w:p>
    <w:p w:rsidR="00B24A61" w:rsidRDefault="00B24A61" w:rsidP="00B24A61">
      <w:pPr>
        <w:pStyle w:val="AERbodytext"/>
        <w:spacing w:before="120" w:after="120"/>
        <w:jc w:val="both"/>
      </w:pPr>
      <w:r>
        <w:t xml:space="preserve">In each STTM hub, gas is priced once before each gas day (the ex ante price) and once after the gas day (the ex post price). The main drivers of ex ante and ex post prices are demand forecasts, together with participant offers and </w:t>
      </w:r>
      <w:r w:rsidR="005157B0">
        <w:t xml:space="preserve">offers to inject or </w:t>
      </w:r>
      <w:r>
        <w:t xml:space="preserve">bids to withdraw gas </w:t>
      </w:r>
      <w:r w:rsidR="003C5272">
        <w:t xml:space="preserve">traded through </w:t>
      </w:r>
      <w:r>
        <w:t>the hub.</w:t>
      </w:r>
      <w:r>
        <w:rPr>
          <w:rStyle w:val="FootnoteReference"/>
        </w:rPr>
        <w:footnoteReference w:id="5"/>
      </w:r>
      <w:r>
        <w:t xml:space="preserve"> P</w:t>
      </w:r>
      <w:r w:rsidRPr="003F73B0">
        <w:t>rice</w:t>
      </w:r>
      <w:r>
        <w:t>s before and after the gas day may also vary</w:t>
      </w:r>
      <w:r w:rsidRPr="003F73B0">
        <w:t xml:space="preserve"> depending on how much gas is sche</w:t>
      </w:r>
      <w:r>
        <w:t>duled before the gas day (setting the ex ante price) and how much gas is consumed in the hub on a gas day (setting the ex post price)</w:t>
      </w:r>
      <w:r w:rsidRPr="003F73B0">
        <w:t>.</w:t>
      </w:r>
      <w:r>
        <w:t xml:space="preserve"> </w:t>
      </w:r>
    </w:p>
    <w:p w:rsidR="00B24A61" w:rsidRDefault="00B24A61" w:rsidP="00B24A61">
      <w:pPr>
        <w:pStyle w:val="AERbodytext"/>
        <w:spacing w:before="120" w:after="120"/>
        <w:jc w:val="both"/>
      </w:pPr>
      <w:r w:rsidRPr="003F73B0">
        <w:t>M</w:t>
      </w:r>
      <w:r>
        <w:t xml:space="preserve">arket </w:t>
      </w:r>
      <w:r w:rsidRPr="003F73B0">
        <w:t>O</w:t>
      </w:r>
      <w:r>
        <w:t xml:space="preserve">perator </w:t>
      </w:r>
      <w:r w:rsidRPr="003F73B0">
        <w:t>S</w:t>
      </w:r>
      <w:r>
        <w:t>ervice</w:t>
      </w:r>
      <w:r w:rsidRPr="003F73B0">
        <w:t xml:space="preserve"> </w:t>
      </w:r>
      <w:r>
        <w:t xml:space="preserve">balancing gas (MOS) </w:t>
      </w:r>
      <w:r w:rsidRPr="003F73B0">
        <w:t>payments arise because</w:t>
      </w:r>
      <w:r>
        <w:t xml:space="preserve"> the amount of gas nominated on pipelines for delivery on a gas day will either exceed or fall short, by some amount, of the amount of gas consumed in the hub. In such circumstances, MOS payments are made to participants for providing a service to park gas on a pipeline or to loan gas from a pipeline to the hub.</w:t>
      </w:r>
      <w:r>
        <w:rPr>
          <w:rStyle w:val="FootnoteReference"/>
        </w:rPr>
        <w:footnoteReference w:id="6"/>
      </w:r>
      <w:r w:rsidRPr="003F73B0">
        <w:t xml:space="preserve"> </w:t>
      </w:r>
    </w:p>
    <w:p w:rsidR="00B24A61" w:rsidRDefault="00B24A61" w:rsidP="00B24A61">
      <w:pPr>
        <w:pStyle w:val="AERbodytext"/>
        <w:spacing w:before="120" w:after="120"/>
        <w:jc w:val="both"/>
      </w:pPr>
      <w:r>
        <w:t xml:space="preserve">Figures 2.1 </w:t>
      </w:r>
      <w:r w:rsidR="008936C5">
        <w:t>and</w:t>
      </w:r>
      <w:r>
        <w:t xml:space="preserve"> 2.</w:t>
      </w:r>
      <w:r w:rsidR="008936C5">
        <w:t>2</w:t>
      </w:r>
      <w:r>
        <w:t xml:space="preserve"> show daily prices, demand, offers and bids. Figures 2.</w:t>
      </w:r>
      <w:r w:rsidR="008936C5">
        <w:t>3</w:t>
      </w:r>
      <w:r>
        <w:t xml:space="preserve"> and 2.</w:t>
      </w:r>
      <w:r w:rsidR="008936C5">
        <w:t>4</w:t>
      </w:r>
      <w:r>
        <w:t xml:space="preserve"> show gas scheduled and allocated on pipelines, indicating the location and relative quantity of gas offers across pipelines and also the amount of MOS allocated for each pipeline.</w:t>
      </w:r>
    </w:p>
    <w:p w:rsidR="00B24A61" w:rsidRPr="00B24A61" w:rsidRDefault="00B24A61" w:rsidP="00B24A61">
      <w:pPr>
        <w:pStyle w:val="AERbodytext"/>
      </w:pPr>
    </w:p>
    <w:p w:rsidR="008E2239" w:rsidRPr="00B76529" w:rsidRDefault="003410C4" w:rsidP="00750C0F">
      <w:pPr>
        <w:pStyle w:val="AERfigureheading"/>
        <w:tabs>
          <w:tab w:val="clear" w:pos="1361"/>
          <w:tab w:val="num" w:pos="1260"/>
        </w:tabs>
        <w:spacing w:before="120"/>
        <w:ind w:left="1260" w:hanging="1260"/>
        <w:rPr>
          <w:rFonts w:ascii="Arial" w:hAnsi="Arial" w:cs="Arial"/>
          <w:sz w:val="20"/>
          <w:szCs w:val="20"/>
        </w:rPr>
      </w:pPr>
      <w:r>
        <w:rPr>
          <w:rFonts w:ascii="Arial" w:hAnsi="Arial" w:cs="Arial"/>
          <w:sz w:val="20"/>
          <w:szCs w:val="20"/>
        </w:rPr>
        <w:t xml:space="preserve">SYD </w:t>
      </w:r>
      <w:r w:rsidR="008936C5">
        <w:rPr>
          <w:rFonts w:ascii="Arial" w:hAnsi="Arial" w:cs="Arial"/>
          <w:sz w:val="20"/>
          <w:szCs w:val="20"/>
        </w:rPr>
        <w:t>STTM d</w:t>
      </w:r>
      <w:r w:rsidR="005E4C48">
        <w:rPr>
          <w:rFonts w:ascii="Arial" w:hAnsi="Arial" w:cs="Arial"/>
          <w:sz w:val="20"/>
          <w:szCs w:val="20"/>
        </w:rPr>
        <w:t>aily e</w:t>
      </w:r>
      <w:r w:rsidR="008E2239" w:rsidRPr="00B76529">
        <w:rPr>
          <w:rFonts w:ascii="Arial" w:hAnsi="Arial" w:cs="Arial"/>
          <w:sz w:val="20"/>
          <w:szCs w:val="20"/>
        </w:rPr>
        <w:t>x ante and ex post prices</w:t>
      </w:r>
      <w:r w:rsidR="005E4C48">
        <w:rPr>
          <w:rFonts w:ascii="Arial" w:hAnsi="Arial" w:cs="Arial"/>
          <w:sz w:val="20"/>
          <w:szCs w:val="20"/>
        </w:rPr>
        <w:t xml:space="preserve"> and quantities</w:t>
      </w:r>
      <w:r w:rsidR="008E2239" w:rsidRPr="00B76529">
        <w:rPr>
          <w:rFonts w:ascii="Arial" w:hAnsi="Arial" w:cs="Arial"/>
          <w:sz w:val="20"/>
          <w:szCs w:val="20"/>
        </w:rPr>
        <w:t xml:space="preserve"> </w:t>
      </w:r>
    </w:p>
    <w:tbl>
      <w:tblPr>
        <w:tblW w:w="9360" w:type="dxa"/>
        <w:tblBorders>
          <w:top w:val="single" w:sz="12" w:space="0" w:color="auto"/>
          <w:bottom w:val="single" w:sz="4" w:space="0" w:color="auto"/>
        </w:tblBorders>
        <w:tblLayout w:type="fixed"/>
        <w:tblLook w:val="01E0"/>
      </w:tblPr>
      <w:tblGrid>
        <w:gridCol w:w="2160"/>
        <w:gridCol w:w="1028"/>
        <w:gridCol w:w="1029"/>
        <w:gridCol w:w="1028"/>
        <w:gridCol w:w="1029"/>
        <w:gridCol w:w="1028"/>
        <w:gridCol w:w="1029"/>
        <w:gridCol w:w="1029"/>
      </w:tblGrid>
      <w:tr w:rsidR="003410C4" w:rsidRPr="005E4C48" w:rsidTr="002861A9">
        <w:trPr>
          <w:trHeight w:val="255"/>
        </w:trPr>
        <w:tc>
          <w:tcPr>
            <w:tcW w:w="216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rPr>
                <w:rFonts w:ascii="Arial" w:hAnsi="Arial" w:cs="Arial"/>
                <w:b/>
                <w:bCs/>
                <w:sz w:val="20"/>
                <w:szCs w:val="20"/>
              </w:rPr>
            </w:pPr>
            <w:r w:rsidRPr="002861A9">
              <w:rPr>
                <w:rFonts w:ascii="Arial" w:hAnsi="Arial" w:cs="Arial"/>
                <w:b/>
                <w:bCs/>
                <w:sz w:val="20"/>
                <w:szCs w:val="20"/>
              </w:rPr>
              <w:t> </w:t>
            </w:r>
          </w:p>
        </w:tc>
        <w:tc>
          <w:tcPr>
            <w:tcW w:w="1028"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Sun</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Mon</w:t>
            </w:r>
          </w:p>
        </w:tc>
        <w:tc>
          <w:tcPr>
            <w:tcW w:w="1028"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Tue</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Wed</w:t>
            </w:r>
          </w:p>
        </w:tc>
        <w:tc>
          <w:tcPr>
            <w:tcW w:w="1028"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Thu</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Fri</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Sat</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ante price ($/GJ)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4.11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4.12</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4.96</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4.81</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4.01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4.01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4.11</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ante quantity (TJ)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188</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217</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229</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227</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219</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214</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190</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post price ($/GJ)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4.10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4.96</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4.01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4.01</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4.01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4.01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4.90</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Post quantity (TJ)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181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224</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221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223</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223</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208</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199</w:t>
            </w:r>
          </w:p>
        </w:tc>
      </w:tr>
    </w:tbl>
    <w:p w:rsidR="003410C4" w:rsidRDefault="003410C4" w:rsidP="003410C4">
      <w:pPr>
        <w:pStyle w:val="AERfigureheading"/>
        <w:numPr>
          <w:ilvl w:val="0"/>
          <w:numId w:val="0"/>
        </w:numPr>
        <w:spacing w:before="120"/>
        <w:rPr>
          <w:rFonts w:ascii="Arial" w:hAnsi="Arial" w:cs="Arial"/>
          <w:color w:val="FF0000"/>
          <w:sz w:val="20"/>
          <w:szCs w:val="20"/>
        </w:rPr>
      </w:pPr>
    </w:p>
    <w:p w:rsidR="00055584" w:rsidRPr="00582F1C" w:rsidRDefault="0045204B" w:rsidP="0045204B">
      <w:pPr>
        <w:pStyle w:val="AERtableheading-unnumbered"/>
        <w:numPr>
          <w:ilvl w:val="0"/>
          <w:numId w:val="0"/>
        </w:numPr>
        <w:rPr>
          <w:rFonts w:ascii="Arial" w:hAnsi="Arial" w:cs="Arial"/>
          <w:color w:val="FF0000"/>
          <w:sz w:val="20"/>
          <w:szCs w:val="20"/>
        </w:rPr>
      </w:pPr>
      <w:r w:rsidRPr="009578D3">
        <w:rPr>
          <w:rFonts w:ascii="Arial" w:hAnsi="Arial" w:cs="Arial"/>
          <w:sz w:val="20"/>
          <w:szCs w:val="20"/>
        </w:rPr>
        <w:t>Figure 2.2 (a)</w:t>
      </w:r>
      <w:r w:rsidRPr="009578D3">
        <w:rPr>
          <w:rFonts w:ascii="Arial" w:hAnsi="Arial" w:cs="Arial"/>
          <w:sz w:val="19"/>
          <w:szCs w:val="19"/>
        </w:rPr>
        <w:t xml:space="preserve"> </w:t>
      </w:r>
      <w:r w:rsidR="00055584" w:rsidRPr="009578D3">
        <w:rPr>
          <w:rFonts w:ascii="Arial" w:hAnsi="Arial" w:cs="Arial"/>
          <w:sz w:val="19"/>
          <w:szCs w:val="19"/>
        </w:rPr>
        <w:t>Daily hub offers</w:t>
      </w:r>
      <w:r w:rsidR="00781A4A" w:rsidRPr="009578D3">
        <w:rPr>
          <w:rFonts w:ascii="Arial" w:hAnsi="Arial" w:cs="Arial"/>
          <w:sz w:val="19"/>
          <w:szCs w:val="19"/>
        </w:rPr>
        <w:t xml:space="preserve"> in price bands</w:t>
      </w:r>
      <w:r w:rsidR="00CD3544" w:rsidRPr="009578D3">
        <w:rPr>
          <w:rFonts w:ascii="Arial" w:hAnsi="Arial" w:cs="Arial"/>
          <w:sz w:val="19"/>
          <w:szCs w:val="19"/>
        </w:rPr>
        <w:t xml:space="preserve"> </w:t>
      </w:r>
      <w:r w:rsidR="00587CD1" w:rsidRPr="009578D3">
        <w:rPr>
          <w:rFonts w:ascii="Arial" w:hAnsi="Arial" w:cs="Arial"/>
          <w:sz w:val="19"/>
          <w:szCs w:val="19"/>
        </w:rPr>
        <w:t>($/GJ)</w:t>
      </w:r>
      <w:r w:rsidR="00587CD1" w:rsidRPr="00582F1C">
        <w:rPr>
          <w:rFonts w:ascii="Arial" w:hAnsi="Arial" w:cs="Arial"/>
          <w:color w:val="FF0000"/>
          <w:sz w:val="20"/>
          <w:szCs w:val="20"/>
        </w:rPr>
        <w:t xml:space="preserve"> </w:t>
      </w:r>
      <w:r w:rsidR="00781A4A" w:rsidRPr="00582F1C">
        <w:rPr>
          <w:rFonts w:ascii="Arial" w:hAnsi="Arial" w:cs="Arial"/>
          <w:color w:val="FF0000"/>
          <w:sz w:val="20"/>
          <w:szCs w:val="20"/>
        </w:rPr>
        <w:t xml:space="preserve"> </w:t>
      </w:r>
      <w:r w:rsidRPr="00582F1C">
        <w:rPr>
          <w:rFonts w:ascii="Arial" w:hAnsi="Arial" w:cs="Arial"/>
          <w:color w:val="FF0000"/>
          <w:sz w:val="20"/>
          <w:szCs w:val="20"/>
        </w:rPr>
        <w:t xml:space="preserve">   </w:t>
      </w:r>
      <w:r w:rsidR="00587CD1" w:rsidRPr="009578D3">
        <w:rPr>
          <w:rFonts w:ascii="Arial" w:hAnsi="Arial" w:cs="Arial"/>
          <w:sz w:val="20"/>
          <w:szCs w:val="20"/>
        </w:rPr>
        <w:t>Figure 2.2</w:t>
      </w:r>
      <w:r w:rsidR="00781A4A" w:rsidRPr="009578D3">
        <w:rPr>
          <w:rFonts w:ascii="Arial" w:hAnsi="Arial" w:cs="Arial"/>
          <w:sz w:val="20"/>
          <w:szCs w:val="20"/>
        </w:rPr>
        <w:t>(b)</w:t>
      </w:r>
      <w:r w:rsidR="00587CD1" w:rsidRPr="009578D3">
        <w:rPr>
          <w:rFonts w:ascii="Arial" w:hAnsi="Arial" w:cs="Arial"/>
          <w:sz w:val="20"/>
          <w:szCs w:val="20"/>
        </w:rPr>
        <w:t>:</w:t>
      </w:r>
      <w:r w:rsidR="00781A4A" w:rsidRPr="009578D3">
        <w:rPr>
          <w:rFonts w:ascii="Arial" w:hAnsi="Arial" w:cs="Arial"/>
          <w:sz w:val="20"/>
          <w:szCs w:val="20"/>
        </w:rPr>
        <w:t xml:space="preserve"> </w:t>
      </w:r>
      <w:r w:rsidR="00781A4A" w:rsidRPr="009578D3">
        <w:rPr>
          <w:rFonts w:ascii="Arial" w:hAnsi="Arial" w:cs="Arial"/>
          <w:sz w:val="19"/>
          <w:szCs w:val="19"/>
        </w:rPr>
        <w:t>Daily hub b</w:t>
      </w:r>
      <w:r w:rsidRPr="009578D3">
        <w:rPr>
          <w:rFonts w:ascii="Arial" w:hAnsi="Arial" w:cs="Arial"/>
          <w:sz w:val="19"/>
          <w:szCs w:val="19"/>
        </w:rPr>
        <w:t>i</w:t>
      </w:r>
      <w:r w:rsidR="00781A4A" w:rsidRPr="009578D3">
        <w:rPr>
          <w:rFonts w:ascii="Arial" w:hAnsi="Arial" w:cs="Arial"/>
          <w:sz w:val="19"/>
          <w:szCs w:val="19"/>
        </w:rPr>
        <w:t xml:space="preserve">ds </w:t>
      </w:r>
      <w:r w:rsidR="00CD3544" w:rsidRPr="009578D3">
        <w:rPr>
          <w:rFonts w:ascii="Arial" w:hAnsi="Arial" w:cs="Arial"/>
          <w:sz w:val="19"/>
          <w:szCs w:val="19"/>
        </w:rPr>
        <w:t>in</w:t>
      </w:r>
      <w:r w:rsidR="00055584" w:rsidRPr="009578D3">
        <w:rPr>
          <w:rFonts w:ascii="Arial" w:hAnsi="Arial" w:cs="Arial"/>
          <w:sz w:val="19"/>
          <w:szCs w:val="19"/>
        </w:rPr>
        <w:t xml:space="preserve"> price bands ($/GJ)</w:t>
      </w:r>
    </w:p>
    <w:p w:rsidR="00055584" w:rsidRPr="00FC426D" w:rsidRDefault="003A12A5" w:rsidP="006C6D60">
      <w:pPr>
        <w:pStyle w:val="FigheadingA"/>
        <w:numPr>
          <w:ilvl w:val="0"/>
          <w:numId w:val="0"/>
        </w:numPr>
        <w:spacing w:before="120" w:after="0"/>
        <w:ind w:left="1134" w:hanging="1134"/>
        <w:jc w:val="center"/>
      </w:pPr>
      <w:r>
        <w:pict>
          <v:shape id="_x0000_i1032" type="#_x0000_t75" style="width:475.5pt;height:182.35pt">
            <v:imagedata r:id="rId17" o:title=""/>
          </v:shape>
        </w:pict>
      </w:r>
      <w:r w:rsidR="00055584" w:rsidRPr="00452AAD" w:rsidDel="00452AAD">
        <w:t xml:space="preserve"> </w:t>
      </w:r>
    </w:p>
    <w:p w:rsidR="008E2239" w:rsidRPr="009578D3" w:rsidRDefault="003410C4" w:rsidP="00157AFD">
      <w:pPr>
        <w:pStyle w:val="AERfigureheading"/>
        <w:numPr>
          <w:ilvl w:val="5"/>
          <w:numId w:val="42"/>
        </w:numPr>
        <w:tabs>
          <w:tab w:val="clear" w:pos="1361"/>
          <w:tab w:val="num" w:pos="1260"/>
        </w:tabs>
        <w:rPr>
          <w:rFonts w:ascii="Arial" w:hAnsi="Arial" w:cs="Arial"/>
          <w:sz w:val="20"/>
          <w:szCs w:val="20"/>
        </w:rPr>
      </w:pPr>
      <w:r w:rsidRPr="009578D3">
        <w:rPr>
          <w:rFonts w:ascii="Arial" w:hAnsi="Arial" w:cs="Arial"/>
          <w:sz w:val="20"/>
          <w:szCs w:val="20"/>
        </w:rPr>
        <w:t xml:space="preserve">SYD </w:t>
      </w:r>
      <w:r w:rsidR="008936C5" w:rsidRPr="009578D3">
        <w:rPr>
          <w:rFonts w:ascii="Arial" w:hAnsi="Arial" w:cs="Arial"/>
          <w:sz w:val="20"/>
          <w:szCs w:val="20"/>
        </w:rPr>
        <w:t>STTM e</w:t>
      </w:r>
      <w:r w:rsidR="00BA65E6" w:rsidRPr="009578D3">
        <w:rPr>
          <w:rFonts w:ascii="Arial" w:hAnsi="Arial" w:cs="Arial"/>
          <w:sz w:val="20"/>
          <w:szCs w:val="20"/>
        </w:rPr>
        <w:t xml:space="preserve">x ante </w:t>
      </w:r>
      <w:r w:rsidR="005E4C48" w:rsidRPr="009578D3">
        <w:rPr>
          <w:rFonts w:ascii="Arial" w:hAnsi="Arial" w:cs="Arial"/>
          <w:sz w:val="20"/>
          <w:szCs w:val="20"/>
        </w:rPr>
        <w:t>s</w:t>
      </w:r>
      <w:r w:rsidR="008E2239" w:rsidRPr="009578D3">
        <w:rPr>
          <w:rFonts w:ascii="Arial" w:hAnsi="Arial" w:cs="Arial"/>
          <w:sz w:val="20"/>
          <w:szCs w:val="20"/>
        </w:rPr>
        <w:t xml:space="preserve">cheduled and </w:t>
      </w:r>
      <w:r w:rsidR="005E4C48" w:rsidRPr="009578D3">
        <w:rPr>
          <w:rFonts w:ascii="Arial" w:hAnsi="Arial" w:cs="Arial"/>
          <w:sz w:val="20"/>
          <w:szCs w:val="20"/>
        </w:rPr>
        <w:t>a</w:t>
      </w:r>
      <w:r w:rsidR="008E2239" w:rsidRPr="009578D3">
        <w:rPr>
          <w:rFonts w:ascii="Arial" w:hAnsi="Arial" w:cs="Arial"/>
          <w:sz w:val="20"/>
          <w:szCs w:val="20"/>
        </w:rPr>
        <w:t>llocated gas</w:t>
      </w:r>
      <w:r w:rsidR="005E4C48" w:rsidRPr="009578D3">
        <w:rPr>
          <w:rFonts w:ascii="Arial" w:hAnsi="Arial" w:cs="Arial"/>
          <w:sz w:val="20"/>
          <w:szCs w:val="20"/>
        </w:rPr>
        <w:t xml:space="preserve"> volumes</w:t>
      </w:r>
      <w:r w:rsidR="008E2239" w:rsidRPr="009578D3">
        <w:rPr>
          <w:rFonts w:ascii="Arial" w:hAnsi="Arial" w:cs="Arial"/>
          <w:sz w:val="20"/>
          <w:szCs w:val="20"/>
        </w:rPr>
        <w:t xml:space="preserve"> by </w:t>
      </w:r>
      <w:r w:rsidR="00BA65E6" w:rsidRPr="009578D3">
        <w:rPr>
          <w:rFonts w:ascii="Arial" w:hAnsi="Arial" w:cs="Arial"/>
          <w:sz w:val="20"/>
          <w:szCs w:val="20"/>
        </w:rPr>
        <w:t>STTM facility</w:t>
      </w:r>
    </w:p>
    <w:p w:rsidR="008E2239" w:rsidRPr="002E2E46" w:rsidRDefault="003A12A5" w:rsidP="006C6D60">
      <w:pPr>
        <w:pStyle w:val="BodyText"/>
        <w:spacing w:before="120" w:after="0"/>
        <w:jc w:val="center"/>
      </w:pPr>
      <w:r>
        <w:pict>
          <v:shape id="_x0000_i1033" type="#_x0000_t75" style="width:476.3pt;height:200.55pt">
            <v:imagedata r:id="rId18" o:title=""/>
          </v:shape>
        </w:pict>
      </w:r>
    </w:p>
    <w:p w:rsidR="0045204B" w:rsidRPr="00582F1C" w:rsidRDefault="0045204B" w:rsidP="0045204B">
      <w:pPr>
        <w:pStyle w:val="AERtableheading-unnumbered"/>
        <w:numPr>
          <w:ilvl w:val="0"/>
          <w:numId w:val="0"/>
        </w:numPr>
        <w:rPr>
          <w:rFonts w:ascii="Arial" w:hAnsi="Arial" w:cs="Arial"/>
          <w:sz w:val="20"/>
          <w:szCs w:val="20"/>
        </w:rPr>
      </w:pPr>
      <w:r w:rsidRPr="009578D3">
        <w:rPr>
          <w:rFonts w:ascii="Arial" w:hAnsi="Arial" w:cs="Arial"/>
          <w:sz w:val="20"/>
          <w:szCs w:val="20"/>
        </w:rPr>
        <w:t>Figure 2.4 (a) SYD</w:t>
      </w:r>
      <w:r w:rsidR="008936C5" w:rsidRPr="009578D3">
        <w:rPr>
          <w:rFonts w:ascii="Arial" w:hAnsi="Arial" w:cs="Arial"/>
          <w:sz w:val="20"/>
          <w:szCs w:val="20"/>
        </w:rPr>
        <w:t xml:space="preserve"> STTM MOS allocations (TJ)</w:t>
      </w:r>
      <w:r w:rsidR="008936C5">
        <w:rPr>
          <w:rFonts w:ascii="Arial" w:hAnsi="Arial" w:cs="Arial"/>
          <w:color w:val="FF0000"/>
          <w:sz w:val="20"/>
          <w:szCs w:val="20"/>
        </w:rPr>
        <w:t xml:space="preserve">         </w:t>
      </w:r>
      <w:r w:rsidRPr="00582F1C">
        <w:rPr>
          <w:rFonts w:ascii="Arial" w:hAnsi="Arial" w:cs="Arial"/>
          <w:color w:val="FF0000"/>
          <w:sz w:val="20"/>
          <w:szCs w:val="20"/>
        </w:rPr>
        <w:t xml:space="preserve"> </w:t>
      </w:r>
      <w:r w:rsidRPr="009578D3">
        <w:rPr>
          <w:rFonts w:ascii="Arial" w:hAnsi="Arial" w:cs="Arial"/>
          <w:sz w:val="20"/>
          <w:szCs w:val="20"/>
        </w:rPr>
        <w:t>Figure 2.4 (b): Service payments and commodity</w:t>
      </w:r>
      <w:r w:rsidRPr="0045204B">
        <w:rPr>
          <w:rFonts w:ascii="Arial" w:hAnsi="Arial" w:cs="Arial"/>
          <w:color w:val="FF0000"/>
          <w:sz w:val="20"/>
          <w:szCs w:val="20"/>
        </w:rPr>
        <w:t xml:space="preserve"> </w:t>
      </w:r>
      <w:r w:rsidR="002168D4" w:rsidRPr="002168D4">
        <w:rPr>
          <w:rFonts w:ascii="Arial" w:hAnsi="Arial" w:cs="Arial"/>
          <w:color w:val="FFFFFF"/>
          <w:sz w:val="4"/>
          <w:szCs w:val="4"/>
        </w:rPr>
        <w:t>`</w:t>
      </w:r>
      <w:r w:rsidR="002168D4" w:rsidRPr="002168D4">
        <w:rPr>
          <w:rFonts w:ascii="Arial" w:hAnsi="Arial" w:cs="Arial"/>
          <w:color w:val="FFFFFF"/>
          <w:sz w:val="20"/>
          <w:szCs w:val="20"/>
        </w:rPr>
        <w:t xml:space="preserve">                                                                                                                 </w:t>
      </w:r>
      <w:r w:rsidRPr="00582F1C">
        <w:rPr>
          <w:rFonts w:ascii="Arial" w:hAnsi="Arial" w:cs="Arial"/>
          <w:sz w:val="20"/>
          <w:szCs w:val="20"/>
        </w:rPr>
        <w:t>payments/charges ($000)</w:t>
      </w:r>
    </w:p>
    <w:p w:rsidR="009C30E2" w:rsidRPr="002E2E46" w:rsidRDefault="003A12A5" w:rsidP="006C6D60">
      <w:pPr>
        <w:jc w:val="center"/>
        <w:rPr>
          <w:color w:val="C0C0C0"/>
          <w:sz w:val="28"/>
          <w:szCs w:val="28"/>
        </w:rPr>
      </w:pPr>
      <w:r>
        <w:pict>
          <v:shape id="_x0000_i1034" type="#_x0000_t75" style="width:475.1pt;height:180.8pt">
            <v:imagedata r:id="rId19" o:title=""/>
          </v:shape>
        </w:pict>
      </w:r>
    </w:p>
    <w:p w:rsidR="007E52F7" w:rsidRDefault="007E52F7" w:rsidP="00B66BAB">
      <w:pPr>
        <w:pStyle w:val="AERheading1"/>
        <w:pageBreakBefore w:val="0"/>
        <w:numPr>
          <w:ilvl w:val="0"/>
          <w:numId w:val="0"/>
        </w:numPr>
        <w:spacing w:before="120"/>
        <w:rPr>
          <w:rFonts w:ascii="Times New Roman" w:hAnsi="Times New Roman" w:cs="Times New Roman"/>
          <w:color w:val="C0C0C0"/>
          <w:sz w:val="28"/>
          <w:szCs w:val="28"/>
        </w:rPr>
      </w:pPr>
    </w:p>
    <w:p w:rsidR="00601C18" w:rsidRPr="00B66BAB" w:rsidRDefault="007E52F7" w:rsidP="00987973">
      <w:pPr>
        <w:pStyle w:val="AERheading1"/>
        <w:pageBreakBefore w:val="0"/>
        <w:spacing w:before="120"/>
        <w:rPr>
          <w:rFonts w:ascii="Times New Roman" w:hAnsi="Times New Roman" w:cs="Times New Roman"/>
          <w:sz w:val="28"/>
          <w:szCs w:val="28"/>
        </w:rPr>
      </w:pPr>
      <w:r>
        <w:rPr>
          <w:rFonts w:ascii="Times New Roman" w:hAnsi="Times New Roman" w:cs="Times New Roman"/>
          <w:color w:val="C0C0C0"/>
          <w:sz w:val="28"/>
          <w:szCs w:val="28"/>
        </w:rPr>
        <w:br w:type="column"/>
      </w:r>
      <w:smartTag w:uri="urn:schemas-microsoft-com:office:smarttags" w:element="City">
        <w:smartTag w:uri="urn:schemas-microsoft-com:office:smarttags" w:element="place">
          <w:r w:rsidR="00601C18" w:rsidRPr="00B66BAB">
            <w:rPr>
              <w:rFonts w:ascii="Times New Roman" w:hAnsi="Times New Roman" w:cs="Times New Roman"/>
              <w:sz w:val="28"/>
              <w:szCs w:val="28"/>
            </w:rPr>
            <w:t>Adelaide</w:t>
          </w:r>
        </w:smartTag>
      </w:smartTag>
      <w:r w:rsidR="00601C18" w:rsidRPr="00B66BAB">
        <w:rPr>
          <w:rFonts w:ascii="Times New Roman" w:hAnsi="Times New Roman" w:cs="Times New Roman"/>
          <w:sz w:val="28"/>
          <w:szCs w:val="28"/>
        </w:rPr>
        <w:t xml:space="preserve"> STTM</w:t>
      </w:r>
    </w:p>
    <w:p w:rsidR="0006609A" w:rsidRPr="0029244F" w:rsidRDefault="0006609A" w:rsidP="0006609A">
      <w:pPr>
        <w:pStyle w:val="AERbodytext"/>
      </w:pPr>
      <w:r>
        <w:t xml:space="preserve">The Adelaide STTM hub functions in the same way as the Sydney STTM hub.  The same data that was presented for the </w:t>
      </w:r>
      <w:smartTag w:uri="urn:schemas-microsoft-com:office:smarttags" w:element="City">
        <w:r>
          <w:t>Sydney</w:t>
        </w:r>
      </w:smartTag>
      <w:r>
        <w:t xml:space="preserve"> hub is presented for the </w:t>
      </w:r>
      <w:smartTag w:uri="urn:schemas-microsoft-com:office:smarttags" w:element="place">
        <w:smartTag w:uri="urn:schemas-microsoft-com:office:smarttags" w:element="City">
          <w:r>
            <w:t>Adelaide</w:t>
          </w:r>
        </w:smartTag>
      </w:smartTag>
      <w:r>
        <w:t xml:space="preserve"> hub in the figures below. </w:t>
      </w:r>
    </w:p>
    <w:p w:rsidR="00B66BAB" w:rsidRPr="003C5272" w:rsidRDefault="003410C4" w:rsidP="00B66BAB">
      <w:pPr>
        <w:pStyle w:val="AERfigureheading"/>
        <w:tabs>
          <w:tab w:val="clear" w:pos="1361"/>
          <w:tab w:val="num" w:pos="1260"/>
        </w:tabs>
        <w:spacing w:before="120"/>
        <w:ind w:left="1260" w:hanging="1260"/>
        <w:rPr>
          <w:rFonts w:ascii="Arial" w:hAnsi="Arial" w:cs="Arial"/>
          <w:sz w:val="20"/>
          <w:szCs w:val="20"/>
        </w:rPr>
      </w:pPr>
      <w:r>
        <w:rPr>
          <w:rFonts w:ascii="Arial" w:hAnsi="Arial" w:cs="Arial"/>
          <w:sz w:val="20"/>
          <w:szCs w:val="20"/>
        </w:rPr>
        <w:t>ADL</w:t>
      </w:r>
      <w:r w:rsidRPr="003C5272">
        <w:rPr>
          <w:rFonts w:ascii="Arial" w:hAnsi="Arial" w:cs="Arial"/>
          <w:sz w:val="20"/>
          <w:szCs w:val="20"/>
        </w:rPr>
        <w:t xml:space="preserve"> </w:t>
      </w:r>
      <w:r w:rsidR="0006609A" w:rsidRPr="003C5272">
        <w:rPr>
          <w:rFonts w:ascii="Arial" w:hAnsi="Arial" w:cs="Arial"/>
          <w:sz w:val="20"/>
          <w:szCs w:val="20"/>
        </w:rPr>
        <w:t xml:space="preserve">STTM </w:t>
      </w:r>
      <w:r w:rsidR="00F77722">
        <w:rPr>
          <w:rFonts w:ascii="Arial" w:hAnsi="Arial" w:cs="Arial"/>
          <w:sz w:val="20"/>
          <w:szCs w:val="20"/>
        </w:rPr>
        <w:t>d</w:t>
      </w:r>
      <w:r w:rsidR="00B66BAB" w:rsidRPr="003C5272">
        <w:rPr>
          <w:rFonts w:ascii="Arial" w:hAnsi="Arial" w:cs="Arial"/>
          <w:sz w:val="20"/>
          <w:szCs w:val="20"/>
        </w:rPr>
        <w:t xml:space="preserve">aily ex ante and ex post prices and quantities </w:t>
      </w:r>
    </w:p>
    <w:tbl>
      <w:tblPr>
        <w:tblW w:w="9360" w:type="dxa"/>
        <w:tblBorders>
          <w:top w:val="single" w:sz="12" w:space="0" w:color="auto"/>
          <w:bottom w:val="single" w:sz="4" w:space="0" w:color="auto"/>
        </w:tblBorders>
        <w:tblLayout w:type="fixed"/>
        <w:tblLook w:val="01E0"/>
      </w:tblPr>
      <w:tblGrid>
        <w:gridCol w:w="2160"/>
        <w:gridCol w:w="1028"/>
        <w:gridCol w:w="1029"/>
        <w:gridCol w:w="1028"/>
        <w:gridCol w:w="1029"/>
        <w:gridCol w:w="1028"/>
        <w:gridCol w:w="1029"/>
        <w:gridCol w:w="1029"/>
      </w:tblGrid>
      <w:tr w:rsidR="003410C4" w:rsidRPr="005E4C48" w:rsidTr="002861A9">
        <w:trPr>
          <w:trHeight w:val="255"/>
        </w:trPr>
        <w:tc>
          <w:tcPr>
            <w:tcW w:w="216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rPr>
                <w:rFonts w:ascii="Arial" w:hAnsi="Arial" w:cs="Arial"/>
                <w:b/>
                <w:bCs/>
                <w:sz w:val="20"/>
                <w:szCs w:val="20"/>
              </w:rPr>
            </w:pPr>
            <w:r w:rsidRPr="002861A9">
              <w:rPr>
                <w:rFonts w:ascii="Arial" w:hAnsi="Arial" w:cs="Arial"/>
                <w:b/>
                <w:bCs/>
                <w:sz w:val="20"/>
                <w:szCs w:val="20"/>
              </w:rPr>
              <w:t> </w:t>
            </w:r>
          </w:p>
        </w:tc>
        <w:tc>
          <w:tcPr>
            <w:tcW w:w="1028"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Sun</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Mon</w:t>
            </w:r>
          </w:p>
        </w:tc>
        <w:tc>
          <w:tcPr>
            <w:tcW w:w="1028"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Tue</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Wed</w:t>
            </w:r>
          </w:p>
        </w:tc>
        <w:tc>
          <w:tcPr>
            <w:tcW w:w="1028"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Thu</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Fri</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Sat</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ante price ($/GJ)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5.00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4.90</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4.80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4.80</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5.58</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4.80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4.80</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ante quantity (TJ)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46</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53</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52</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52</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43</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post price ($/GJ)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5.00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5.00</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5.10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4.90</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5.10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4.80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5.00</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Post quantity (TJ)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45</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56</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56</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53</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48</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50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44</w:t>
            </w:r>
          </w:p>
        </w:tc>
      </w:tr>
    </w:tbl>
    <w:p w:rsidR="00157AFD" w:rsidRPr="009578D3" w:rsidRDefault="00157AFD" w:rsidP="00157AFD">
      <w:pPr>
        <w:pStyle w:val="AERtableheading-unnumbered"/>
        <w:numPr>
          <w:ilvl w:val="0"/>
          <w:numId w:val="0"/>
        </w:numPr>
        <w:rPr>
          <w:rFonts w:ascii="Arial" w:hAnsi="Arial" w:cs="Arial"/>
          <w:sz w:val="20"/>
          <w:szCs w:val="20"/>
        </w:rPr>
      </w:pPr>
      <w:r w:rsidRPr="009578D3">
        <w:rPr>
          <w:rFonts w:ascii="Arial" w:hAnsi="Arial" w:cs="Arial"/>
          <w:sz w:val="20"/>
          <w:szCs w:val="20"/>
        </w:rPr>
        <w:t>Figure 3.2 (a)</w:t>
      </w:r>
      <w:r w:rsidRPr="009578D3">
        <w:rPr>
          <w:rFonts w:ascii="Arial" w:hAnsi="Arial" w:cs="Arial"/>
          <w:sz w:val="19"/>
          <w:szCs w:val="19"/>
        </w:rPr>
        <w:t xml:space="preserve"> Daily hub offers in price bands ($/GJ)</w:t>
      </w:r>
      <w:r w:rsidRPr="009578D3">
        <w:rPr>
          <w:rFonts w:ascii="Arial" w:hAnsi="Arial" w:cs="Arial"/>
          <w:sz w:val="20"/>
          <w:szCs w:val="20"/>
        </w:rPr>
        <w:t xml:space="preserve">     Figure 3.2(b): </w:t>
      </w:r>
      <w:r w:rsidRPr="009578D3">
        <w:rPr>
          <w:rFonts w:ascii="Arial" w:hAnsi="Arial" w:cs="Arial"/>
          <w:sz w:val="19"/>
          <w:szCs w:val="19"/>
        </w:rPr>
        <w:t>Daily hub bids in price bands ($/GJ)</w:t>
      </w:r>
    </w:p>
    <w:p w:rsidR="00B66BAB" w:rsidRPr="00FC426D" w:rsidRDefault="003A12A5" w:rsidP="00B66BAB">
      <w:pPr>
        <w:pStyle w:val="FigheadingA"/>
        <w:numPr>
          <w:ilvl w:val="0"/>
          <w:numId w:val="0"/>
        </w:numPr>
        <w:spacing w:before="120" w:after="0"/>
        <w:ind w:left="1134" w:hanging="1134"/>
        <w:jc w:val="center"/>
      </w:pPr>
      <w:r>
        <w:pict>
          <v:shape id="_x0000_i1035" type="#_x0000_t75" style="width:475.5pt;height:183.55pt">
            <v:imagedata r:id="rId20" o:title=""/>
          </v:shape>
        </w:pict>
      </w:r>
      <w:r w:rsidR="00B66BAB" w:rsidRPr="00452AAD" w:rsidDel="00452AAD">
        <w:t xml:space="preserve"> </w:t>
      </w:r>
    </w:p>
    <w:p w:rsidR="00B66BAB" w:rsidRPr="009578D3" w:rsidRDefault="003410C4" w:rsidP="00BE18D0">
      <w:pPr>
        <w:pStyle w:val="AERfigureheading"/>
        <w:numPr>
          <w:ilvl w:val="5"/>
          <w:numId w:val="47"/>
        </w:numPr>
        <w:tabs>
          <w:tab w:val="clear" w:pos="1361"/>
          <w:tab w:val="num" w:pos="1260"/>
        </w:tabs>
        <w:rPr>
          <w:rFonts w:ascii="Arial" w:hAnsi="Arial" w:cs="Arial"/>
          <w:sz w:val="20"/>
          <w:szCs w:val="20"/>
        </w:rPr>
      </w:pPr>
      <w:r w:rsidRPr="009578D3">
        <w:rPr>
          <w:rFonts w:ascii="Arial" w:hAnsi="Arial" w:cs="Arial"/>
          <w:sz w:val="20"/>
          <w:szCs w:val="20"/>
        </w:rPr>
        <w:t xml:space="preserve">ADL </w:t>
      </w:r>
      <w:r w:rsidR="0006609A" w:rsidRPr="009578D3">
        <w:rPr>
          <w:rFonts w:ascii="Arial" w:hAnsi="Arial" w:cs="Arial"/>
          <w:sz w:val="20"/>
          <w:szCs w:val="20"/>
        </w:rPr>
        <w:t xml:space="preserve">STTM </w:t>
      </w:r>
      <w:r w:rsidR="008936C5" w:rsidRPr="009578D3">
        <w:rPr>
          <w:rFonts w:ascii="Arial" w:hAnsi="Arial" w:cs="Arial"/>
          <w:sz w:val="20"/>
          <w:szCs w:val="20"/>
        </w:rPr>
        <w:t>e</w:t>
      </w:r>
      <w:r w:rsidR="00B66BAB" w:rsidRPr="009578D3">
        <w:rPr>
          <w:rFonts w:ascii="Arial" w:hAnsi="Arial" w:cs="Arial"/>
          <w:sz w:val="20"/>
          <w:szCs w:val="20"/>
        </w:rPr>
        <w:t>x ante scheduled and allocated gas volumes by STTM facility</w:t>
      </w:r>
    </w:p>
    <w:p w:rsidR="00B66BAB" w:rsidRPr="002E2E46" w:rsidRDefault="003A12A5" w:rsidP="00B66BAB">
      <w:pPr>
        <w:pStyle w:val="BodyText"/>
        <w:spacing w:before="120" w:after="0"/>
        <w:jc w:val="center"/>
      </w:pPr>
      <w:r>
        <w:pict>
          <v:shape id="_x0000_i1036" type="#_x0000_t75" style="width:476.3pt;height:140.05pt">
            <v:imagedata r:id="rId21" o:title=""/>
          </v:shape>
        </w:pict>
      </w:r>
    </w:p>
    <w:p w:rsidR="00157AFD" w:rsidRPr="00582F1C" w:rsidRDefault="00157AFD" w:rsidP="00157AFD">
      <w:pPr>
        <w:pStyle w:val="AERtableheading-unnumbered"/>
        <w:numPr>
          <w:ilvl w:val="0"/>
          <w:numId w:val="0"/>
        </w:numPr>
        <w:spacing w:before="120"/>
        <w:rPr>
          <w:rFonts w:ascii="Arial" w:hAnsi="Arial" w:cs="Arial"/>
          <w:sz w:val="20"/>
          <w:szCs w:val="20"/>
        </w:rPr>
      </w:pPr>
      <w:r w:rsidRPr="009578D3">
        <w:rPr>
          <w:rFonts w:ascii="Arial" w:hAnsi="Arial" w:cs="Arial"/>
          <w:sz w:val="20"/>
          <w:szCs w:val="20"/>
        </w:rPr>
        <w:t>Figure</w:t>
      </w:r>
      <w:r w:rsidRPr="00582F1C">
        <w:rPr>
          <w:rFonts w:ascii="Arial" w:hAnsi="Arial" w:cs="Arial"/>
          <w:color w:val="FF0000"/>
          <w:sz w:val="20"/>
          <w:szCs w:val="20"/>
        </w:rPr>
        <w:t xml:space="preserve"> </w:t>
      </w:r>
      <w:r w:rsidRPr="009578D3">
        <w:rPr>
          <w:rFonts w:ascii="Arial" w:hAnsi="Arial" w:cs="Arial"/>
          <w:sz w:val="20"/>
          <w:szCs w:val="20"/>
        </w:rPr>
        <w:t xml:space="preserve">3.4 (a) ADL </w:t>
      </w:r>
      <w:r w:rsidR="005C68CE" w:rsidRPr="009578D3">
        <w:rPr>
          <w:rFonts w:ascii="Arial" w:hAnsi="Arial" w:cs="Arial"/>
          <w:sz w:val="20"/>
          <w:szCs w:val="20"/>
        </w:rPr>
        <w:t xml:space="preserve">STTM </w:t>
      </w:r>
      <w:r w:rsidRPr="009578D3">
        <w:rPr>
          <w:rFonts w:ascii="Arial" w:hAnsi="Arial" w:cs="Arial"/>
          <w:sz w:val="20"/>
          <w:szCs w:val="20"/>
        </w:rPr>
        <w:t>MOS allocations (TJ)          Figure 3.4 (b): Service payments and commodity</w:t>
      </w:r>
      <w:r w:rsidRPr="0045204B">
        <w:rPr>
          <w:rFonts w:ascii="Arial" w:hAnsi="Arial" w:cs="Arial"/>
          <w:color w:val="FF0000"/>
          <w:sz w:val="20"/>
          <w:szCs w:val="20"/>
        </w:rPr>
        <w:t xml:space="preserve"> </w:t>
      </w:r>
      <w:r w:rsidR="002168D4" w:rsidRPr="002168D4">
        <w:rPr>
          <w:rFonts w:ascii="Arial" w:hAnsi="Arial" w:cs="Arial"/>
          <w:color w:val="FFFFFF"/>
          <w:sz w:val="4"/>
          <w:szCs w:val="4"/>
        </w:rPr>
        <w:t>`</w:t>
      </w:r>
      <w:r w:rsidR="002168D4" w:rsidRPr="002168D4">
        <w:rPr>
          <w:rFonts w:ascii="Arial" w:hAnsi="Arial" w:cs="Arial"/>
          <w:color w:val="FFFFFF"/>
          <w:sz w:val="20"/>
          <w:szCs w:val="20"/>
        </w:rPr>
        <w:t xml:space="preserve">                                                                                                                 </w:t>
      </w:r>
      <w:r w:rsidRPr="00582F1C">
        <w:rPr>
          <w:rFonts w:ascii="Arial" w:hAnsi="Arial" w:cs="Arial"/>
          <w:sz w:val="20"/>
          <w:szCs w:val="20"/>
        </w:rPr>
        <w:t>payments/charges ($000)</w:t>
      </w:r>
    </w:p>
    <w:p w:rsidR="00B66BAB" w:rsidRPr="002E2E46" w:rsidRDefault="003A12A5" w:rsidP="00B66BAB">
      <w:pPr>
        <w:jc w:val="center"/>
      </w:pPr>
      <w:r>
        <w:pict>
          <v:shape id="_x0000_i1037" type="#_x0000_t75" style="width:475.5pt;height:161.4pt">
            <v:imagedata r:id="rId22" o:title=""/>
          </v:shape>
        </w:pict>
      </w:r>
    </w:p>
    <w:p w:rsidR="0006609A" w:rsidRDefault="0006609A" w:rsidP="00B66BAB">
      <w:pPr>
        <w:pStyle w:val="AERheading1"/>
        <w:pageBreakBefore w:val="0"/>
        <w:numPr>
          <w:ilvl w:val="0"/>
          <w:numId w:val="0"/>
        </w:numPr>
        <w:spacing w:before="120"/>
        <w:rPr>
          <w:rFonts w:ascii="Times New Roman" w:hAnsi="Times New Roman" w:cs="Times New Roman"/>
          <w:color w:val="C0C0C0"/>
          <w:sz w:val="28"/>
          <w:szCs w:val="28"/>
        </w:rPr>
        <w:sectPr w:rsidR="0006609A" w:rsidSect="00FD7231">
          <w:pgSz w:w="11907" w:h="16840" w:code="9"/>
          <w:pgMar w:top="720" w:right="1021" w:bottom="737" w:left="1361" w:header="851" w:footer="255" w:gutter="0"/>
          <w:pgBorders w:offsetFrom="page">
            <w:top w:val="none" w:sz="0" w:space="0" w:color="000000"/>
            <w:left w:val="none" w:sz="0" w:space="0" w:color="000000"/>
            <w:bottom w:val="none" w:sz="0" w:space="0" w:color="000000"/>
            <w:right w:val="none" w:sz="0" w:space="0" w:color="000000"/>
          </w:pgBorders>
          <w:cols w:space="720"/>
        </w:sectPr>
      </w:pPr>
    </w:p>
    <w:p w:rsidR="00601C18" w:rsidRDefault="00EF6B0C" w:rsidP="00B66BAB">
      <w:pPr>
        <w:pStyle w:val="AERheading1"/>
        <w:pageBreakBefore w:val="0"/>
        <w:spacing w:before="120"/>
        <w:rPr>
          <w:rFonts w:ascii="Times New Roman" w:hAnsi="Times New Roman" w:cs="Times New Roman"/>
          <w:sz w:val="28"/>
          <w:szCs w:val="28"/>
        </w:rPr>
      </w:pPr>
      <w:r w:rsidRPr="00B66BAB">
        <w:rPr>
          <w:rFonts w:ascii="Times New Roman" w:hAnsi="Times New Roman" w:cs="Times New Roman"/>
          <w:sz w:val="28"/>
          <w:szCs w:val="28"/>
        </w:rPr>
        <w:t xml:space="preserve"> </w:t>
      </w:r>
      <w:smartTag w:uri="urn:schemas-microsoft-com:office:smarttags" w:element="City">
        <w:smartTag w:uri="urn:schemas-microsoft-com:office:smarttags" w:element="place">
          <w:r w:rsidR="00601C18" w:rsidRPr="00B66BAB">
            <w:rPr>
              <w:rFonts w:ascii="Times New Roman" w:hAnsi="Times New Roman" w:cs="Times New Roman"/>
              <w:sz w:val="28"/>
              <w:szCs w:val="28"/>
            </w:rPr>
            <w:t>Brisbane</w:t>
          </w:r>
        </w:smartTag>
      </w:smartTag>
      <w:r w:rsidR="00601C18" w:rsidRPr="00B66BAB">
        <w:rPr>
          <w:rFonts w:ascii="Times New Roman" w:hAnsi="Times New Roman" w:cs="Times New Roman"/>
          <w:sz w:val="28"/>
          <w:szCs w:val="28"/>
        </w:rPr>
        <w:t xml:space="preserve"> STTM</w:t>
      </w:r>
    </w:p>
    <w:p w:rsidR="0006609A" w:rsidRPr="0006609A" w:rsidRDefault="0006609A" w:rsidP="0006609A">
      <w:pPr>
        <w:pStyle w:val="AERbodytext"/>
      </w:pPr>
      <w:r>
        <w:t xml:space="preserve">The </w:t>
      </w:r>
      <w:r w:rsidR="000F59F8">
        <w:t>Brisbane</w:t>
      </w:r>
      <w:r>
        <w:t xml:space="preserve"> STTM hub functions in the same way as the Sydney STTM hub.  The same data that was presented for the </w:t>
      </w:r>
      <w:smartTag w:uri="urn:schemas-microsoft-com:office:smarttags" w:element="City">
        <w:r>
          <w:t>Sydney</w:t>
        </w:r>
      </w:smartTag>
      <w:r>
        <w:t xml:space="preserve"> hub is presented for the</w:t>
      </w:r>
      <w:r w:rsidR="000F59F8">
        <w:t xml:space="preserve"> </w:t>
      </w:r>
      <w:smartTag w:uri="urn:schemas-microsoft-com:office:smarttags" w:element="City">
        <w:smartTag w:uri="urn:schemas-microsoft-com:office:smarttags" w:element="place">
          <w:r w:rsidR="000F59F8">
            <w:t>Brisbane</w:t>
          </w:r>
        </w:smartTag>
      </w:smartTag>
      <w:r>
        <w:t xml:space="preserve"> hub in the figures below. </w:t>
      </w:r>
    </w:p>
    <w:p w:rsidR="00B66BAB" w:rsidRPr="00582F1C" w:rsidRDefault="003410C4" w:rsidP="00B66BAB">
      <w:pPr>
        <w:pStyle w:val="AERfigureheading"/>
        <w:tabs>
          <w:tab w:val="clear" w:pos="1361"/>
          <w:tab w:val="num" w:pos="1260"/>
        </w:tabs>
        <w:spacing w:before="120"/>
        <w:ind w:left="1260" w:hanging="1260"/>
        <w:rPr>
          <w:rFonts w:ascii="Arial" w:hAnsi="Arial" w:cs="Arial"/>
          <w:sz w:val="20"/>
          <w:szCs w:val="20"/>
        </w:rPr>
      </w:pPr>
      <w:r w:rsidRPr="00582F1C">
        <w:rPr>
          <w:rFonts w:ascii="Arial" w:hAnsi="Arial" w:cs="Arial"/>
          <w:sz w:val="20"/>
          <w:szCs w:val="20"/>
        </w:rPr>
        <w:t xml:space="preserve">BRI </w:t>
      </w:r>
      <w:r w:rsidR="005C68CE">
        <w:rPr>
          <w:rFonts w:ascii="Arial" w:hAnsi="Arial" w:cs="Arial"/>
          <w:sz w:val="20"/>
          <w:szCs w:val="20"/>
        </w:rPr>
        <w:t>STTM d</w:t>
      </w:r>
      <w:r w:rsidR="00B66BAB" w:rsidRPr="00582F1C">
        <w:rPr>
          <w:rFonts w:ascii="Arial" w:hAnsi="Arial" w:cs="Arial"/>
          <w:sz w:val="20"/>
          <w:szCs w:val="20"/>
        </w:rPr>
        <w:t xml:space="preserve">aily ex ante and ex post prices and quantities </w:t>
      </w:r>
    </w:p>
    <w:tbl>
      <w:tblPr>
        <w:tblW w:w="9360" w:type="dxa"/>
        <w:tblBorders>
          <w:top w:val="single" w:sz="12" w:space="0" w:color="auto"/>
          <w:bottom w:val="single" w:sz="4" w:space="0" w:color="auto"/>
        </w:tblBorders>
        <w:tblLayout w:type="fixed"/>
        <w:tblLook w:val="01E0"/>
      </w:tblPr>
      <w:tblGrid>
        <w:gridCol w:w="2160"/>
        <w:gridCol w:w="1028"/>
        <w:gridCol w:w="1029"/>
        <w:gridCol w:w="1028"/>
        <w:gridCol w:w="1029"/>
        <w:gridCol w:w="1028"/>
        <w:gridCol w:w="1029"/>
        <w:gridCol w:w="1029"/>
      </w:tblGrid>
      <w:tr w:rsidR="003410C4" w:rsidRPr="005E4C48" w:rsidTr="002861A9">
        <w:trPr>
          <w:trHeight w:val="255"/>
        </w:trPr>
        <w:tc>
          <w:tcPr>
            <w:tcW w:w="2160"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p>
        </w:tc>
        <w:tc>
          <w:tcPr>
            <w:tcW w:w="1028"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Sun</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Mon</w:t>
            </w:r>
          </w:p>
        </w:tc>
        <w:tc>
          <w:tcPr>
            <w:tcW w:w="1028"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Tue</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Wed</w:t>
            </w:r>
          </w:p>
        </w:tc>
        <w:tc>
          <w:tcPr>
            <w:tcW w:w="1028"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Thu</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Fri</w:t>
            </w:r>
          </w:p>
        </w:tc>
        <w:tc>
          <w:tcPr>
            <w:tcW w:w="1029" w:type="dxa"/>
            <w:tcBorders>
              <w:top w:val="nil"/>
              <w:left w:val="nil"/>
              <w:bottom w:val="single" w:sz="4" w:space="0" w:color="auto"/>
              <w:right w:val="nil"/>
              <w:tl2br w:val="nil"/>
              <w:tr2bl w:val="nil"/>
            </w:tcBorders>
            <w:noWrap/>
            <w:tcMar>
              <w:top w:w="0" w:type="dxa"/>
              <w:bottom w:w="0" w:type="dxa"/>
            </w:tcMar>
            <w:vAlign w:val="center"/>
          </w:tcPr>
          <w:p w:rsidR="003410C4" w:rsidRPr="002861A9" w:rsidRDefault="003410C4" w:rsidP="002861A9">
            <w:pPr>
              <w:keepNext/>
              <w:spacing w:before="40" w:after="40"/>
              <w:jc w:val="center"/>
              <w:rPr>
                <w:rFonts w:ascii="Arial" w:hAnsi="Arial" w:cs="Arial"/>
                <w:b/>
                <w:bCs/>
                <w:sz w:val="20"/>
                <w:szCs w:val="20"/>
              </w:rPr>
            </w:pPr>
            <w:r w:rsidRPr="002861A9">
              <w:rPr>
                <w:rFonts w:ascii="Arial" w:hAnsi="Arial" w:cs="Arial"/>
                <w:b/>
                <w:bCs/>
                <w:sz w:val="20"/>
                <w:szCs w:val="20"/>
              </w:rPr>
              <w:t>Sat</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ante price ($/GJ)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8.45</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8.45</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9.36</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11.50</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12.50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11.76</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8.05</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ante quantity (TJ)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148</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160</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160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157</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161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160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156</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post price ($/GJ)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8.45</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9.36</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9.61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11.75</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12.50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11.76</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6.20</w:t>
            </w:r>
          </w:p>
        </w:tc>
      </w:tr>
      <w:tr w:rsidR="009578D3" w:rsidRPr="00B76529" w:rsidTr="002861A9">
        <w:trPr>
          <w:trHeight w:val="255"/>
        </w:trPr>
        <w:tc>
          <w:tcPr>
            <w:tcW w:w="2160" w:type="dxa"/>
            <w:noWrap/>
            <w:tcMar>
              <w:top w:w="0" w:type="dxa"/>
              <w:bottom w:w="0" w:type="dxa"/>
            </w:tcMar>
            <w:vAlign w:val="center"/>
          </w:tcPr>
          <w:p w:rsidR="009578D3" w:rsidRDefault="009578D3">
            <w:pPr>
              <w:rPr>
                <w:rFonts w:ascii="Arial" w:hAnsi="Arial" w:cs="Arial"/>
                <w:sz w:val="20"/>
                <w:szCs w:val="20"/>
              </w:rPr>
            </w:pPr>
            <w:r>
              <w:rPr>
                <w:rFonts w:ascii="Arial" w:hAnsi="Arial" w:cs="Arial"/>
                <w:sz w:val="20"/>
                <w:szCs w:val="20"/>
              </w:rPr>
              <w:t>Ex Post quantity (TJ)</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149</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164</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162</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162</w:t>
            </w:r>
          </w:p>
        </w:tc>
        <w:tc>
          <w:tcPr>
            <w:tcW w:w="1028"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161</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160</w:t>
            </w:r>
          </w:p>
        </w:tc>
        <w:tc>
          <w:tcPr>
            <w:tcW w:w="1029" w:type="dxa"/>
            <w:noWrap/>
            <w:tcMar>
              <w:top w:w="0" w:type="dxa"/>
              <w:bottom w:w="0" w:type="dxa"/>
            </w:tcMar>
            <w:vAlign w:val="center"/>
          </w:tcPr>
          <w:p w:rsidR="009578D3" w:rsidRDefault="009578D3">
            <w:pPr>
              <w:jc w:val="center"/>
              <w:rPr>
                <w:rFonts w:ascii="Arial" w:hAnsi="Arial" w:cs="Arial"/>
                <w:sz w:val="20"/>
                <w:szCs w:val="20"/>
              </w:rPr>
            </w:pPr>
            <w:r>
              <w:rPr>
                <w:rFonts w:ascii="Arial" w:hAnsi="Arial" w:cs="Arial"/>
                <w:sz w:val="20"/>
                <w:szCs w:val="20"/>
              </w:rPr>
              <w:t>154</w:t>
            </w:r>
          </w:p>
        </w:tc>
      </w:tr>
    </w:tbl>
    <w:p w:rsidR="00157AFD" w:rsidRPr="009578D3" w:rsidRDefault="00157AFD" w:rsidP="00157AFD">
      <w:pPr>
        <w:pStyle w:val="AERtableheading-unnumbered"/>
        <w:numPr>
          <w:ilvl w:val="0"/>
          <w:numId w:val="0"/>
        </w:numPr>
        <w:rPr>
          <w:rFonts w:ascii="Arial" w:hAnsi="Arial" w:cs="Arial"/>
          <w:sz w:val="20"/>
          <w:szCs w:val="20"/>
        </w:rPr>
      </w:pPr>
      <w:r w:rsidRPr="009578D3">
        <w:rPr>
          <w:rFonts w:ascii="Arial" w:hAnsi="Arial" w:cs="Arial"/>
          <w:sz w:val="20"/>
          <w:szCs w:val="20"/>
        </w:rPr>
        <w:t>Figure 4.2 (a)</w:t>
      </w:r>
      <w:r w:rsidRPr="009578D3">
        <w:rPr>
          <w:rFonts w:ascii="Arial" w:hAnsi="Arial" w:cs="Arial"/>
          <w:sz w:val="19"/>
          <w:szCs w:val="19"/>
        </w:rPr>
        <w:t xml:space="preserve"> Daily hub offers in price bands ($/GJ)</w:t>
      </w:r>
      <w:r w:rsidRPr="009578D3">
        <w:rPr>
          <w:rFonts w:ascii="Arial" w:hAnsi="Arial" w:cs="Arial"/>
          <w:sz w:val="20"/>
          <w:szCs w:val="20"/>
        </w:rPr>
        <w:t xml:space="preserve">     Figure 4.2(b): </w:t>
      </w:r>
      <w:r w:rsidRPr="009578D3">
        <w:rPr>
          <w:rFonts w:ascii="Arial" w:hAnsi="Arial" w:cs="Arial"/>
          <w:sz w:val="19"/>
          <w:szCs w:val="19"/>
        </w:rPr>
        <w:t>Daily hub bids in price bands ($/GJ)</w:t>
      </w:r>
    </w:p>
    <w:p w:rsidR="00B66BAB" w:rsidRPr="00FC426D" w:rsidRDefault="003A12A5" w:rsidP="00B66BAB">
      <w:pPr>
        <w:pStyle w:val="FigheadingA"/>
        <w:numPr>
          <w:ilvl w:val="0"/>
          <w:numId w:val="0"/>
        </w:numPr>
        <w:spacing w:before="120" w:after="0"/>
        <w:ind w:left="1134" w:hanging="1134"/>
        <w:jc w:val="center"/>
      </w:pPr>
      <w:r>
        <w:pict>
          <v:shape id="_x0000_i1038" type="#_x0000_t75" style="width:475.9pt;height:180.8pt">
            <v:imagedata r:id="rId23" o:title=""/>
          </v:shape>
        </w:pict>
      </w:r>
      <w:r w:rsidR="00B66BAB" w:rsidRPr="00452AAD" w:rsidDel="00452AAD">
        <w:t xml:space="preserve"> </w:t>
      </w:r>
    </w:p>
    <w:p w:rsidR="00B66BAB" w:rsidRPr="009578D3" w:rsidRDefault="003410C4" w:rsidP="00BE18D0">
      <w:pPr>
        <w:pStyle w:val="AERfigureheading"/>
        <w:numPr>
          <w:ilvl w:val="5"/>
          <w:numId w:val="49"/>
        </w:numPr>
        <w:tabs>
          <w:tab w:val="clear" w:pos="1361"/>
          <w:tab w:val="num" w:pos="1260"/>
        </w:tabs>
        <w:rPr>
          <w:rFonts w:ascii="Arial" w:hAnsi="Arial" w:cs="Arial"/>
          <w:sz w:val="20"/>
          <w:szCs w:val="20"/>
        </w:rPr>
      </w:pPr>
      <w:r w:rsidRPr="009578D3">
        <w:rPr>
          <w:rFonts w:ascii="Arial" w:hAnsi="Arial" w:cs="Arial"/>
          <w:sz w:val="20"/>
          <w:szCs w:val="20"/>
        </w:rPr>
        <w:t xml:space="preserve">BRI </w:t>
      </w:r>
      <w:r w:rsidR="005C68CE" w:rsidRPr="009578D3">
        <w:rPr>
          <w:rFonts w:ascii="Arial" w:hAnsi="Arial" w:cs="Arial"/>
          <w:sz w:val="20"/>
          <w:szCs w:val="20"/>
        </w:rPr>
        <w:t>STTM e</w:t>
      </w:r>
      <w:r w:rsidR="00B66BAB" w:rsidRPr="009578D3">
        <w:rPr>
          <w:rFonts w:ascii="Arial" w:hAnsi="Arial" w:cs="Arial"/>
          <w:sz w:val="20"/>
          <w:szCs w:val="20"/>
        </w:rPr>
        <w:t>x ante scheduled and allocated gas volumes by STTM facility</w:t>
      </w:r>
    </w:p>
    <w:p w:rsidR="00B66BAB" w:rsidRPr="002E2E46" w:rsidRDefault="003A12A5" w:rsidP="00B66BAB">
      <w:pPr>
        <w:pStyle w:val="BodyText"/>
        <w:spacing w:before="120" w:after="0"/>
        <w:jc w:val="center"/>
      </w:pPr>
      <w:r>
        <w:pict>
          <v:shape id="_x0000_i1039" type="#_x0000_t75" style="width:475.9pt;height:143.2pt">
            <v:imagedata r:id="rId24" o:title=""/>
          </v:shape>
        </w:pict>
      </w:r>
    </w:p>
    <w:p w:rsidR="00157AFD" w:rsidRPr="00582F1C" w:rsidRDefault="00157AFD" w:rsidP="00157AFD">
      <w:pPr>
        <w:pStyle w:val="AERtableheading-unnumbered"/>
        <w:numPr>
          <w:ilvl w:val="0"/>
          <w:numId w:val="0"/>
        </w:numPr>
        <w:spacing w:before="120"/>
        <w:rPr>
          <w:rFonts w:ascii="Arial" w:hAnsi="Arial" w:cs="Arial"/>
          <w:sz w:val="20"/>
          <w:szCs w:val="20"/>
        </w:rPr>
      </w:pPr>
      <w:r w:rsidRPr="009578D3">
        <w:rPr>
          <w:rFonts w:ascii="Arial" w:hAnsi="Arial" w:cs="Arial"/>
          <w:sz w:val="20"/>
          <w:szCs w:val="20"/>
        </w:rPr>
        <w:t xml:space="preserve">Figure 4.4 (a) BRI </w:t>
      </w:r>
      <w:r w:rsidR="005C68CE" w:rsidRPr="009578D3">
        <w:rPr>
          <w:rFonts w:ascii="Arial" w:hAnsi="Arial" w:cs="Arial"/>
          <w:sz w:val="20"/>
          <w:szCs w:val="20"/>
        </w:rPr>
        <w:t xml:space="preserve">STTM </w:t>
      </w:r>
      <w:r w:rsidRPr="009578D3">
        <w:rPr>
          <w:rFonts w:ascii="Arial" w:hAnsi="Arial" w:cs="Arial"/>
          <w:sz w:val="20"/>
          <w:szCs w:val="20"/>
        </w:rPr>
        <w:t>MOS allocations (TJ)           Figure 4.4 (b): Service payments and commodity</w:t>
      </w:r>
      <w:r w:rsidRPr="0045204B">
        <w:rPr>
          <w:rFonts w:ascii="Arial" w:hAnsi="Arial" w:cs="Arial"/>
          <w:color w:val="FF0000"/>
          <w:sz w:val="20"/>
          <w:szCs w:val="20"/>
        </w:rPr>
        <w:t xml:space="preserve"> </w:t>
      </w:r>
      <w:r w:rsidR="002168D4" w:rsidRPr="002168D4">
        <w:rPr>
          <w:rFonts w:ascii="Arial" w:hAnsi="Arial" w:cs="Arial"/>
          <w:color w:val="FFFFFF"/>
          <w:sz w:val="4"/>
          <w:szCs w:val="4"/>
        </w:rPr>
        <w:t>`</w:t>
      </w:r>
      <w:r w:rsidR="002168D4" w:rsidRPr="002168D4">
        <w:rPr>
          <w:rFonts w:ascii="Arial" w:hAnsi="Arial" w:cs="Arial"/>
          <w:color w:val="FFFFFF"/>
          <w:sz w:val="20"/>
          <w:szCs w:val="20"/>
        </w:rPr>
        <w:t xml:space="preserve">                                                                                                                 </w:t>
      </w:r>
      <w:r w:rsidRPr="00582F1C">
        <w:rPr>
          <w:rFonts w:ascii="Arial" w:hAnsi="Arial" w:cs="Arial"/>
          <w:sz w:val="20"/>
          <w:szCs w:val="20"/>
        </w:rPr>
        <w:t>payments/charges ($000)</w:t>
      </w:r>
    </w:p>
    <w:p w:rsidR="002A5634" w:rsidRPr="002E2E46" w:rsidRDefault="003A12A5" w:rsidP="00452149">
      <w:pPr>
        <w:jc w:val="center"/>
      </w:pPr>
      <w:r>
        <w:pict>
          <v:shape id="_x0000_i1040" type="#_x0000_t75" style="width:476.3pt;height:165.75pt">
            <v:imagedata r:id="rId25" o:title=""/>
          </v:shape>
        </w:pict>
      </w:r>
    </w:p>
    <w:p w:rsidR="005F18AD" w:rsidRPr="008133CF" w:rsidRDefault="00452149" w:rsidP="00875D0C">
      <w:pPr>
        <w:pStyle w:val="AERheading1"/>
        <w:pageBreakBefore w:val="0"/>
        <w:spacing w:before="120"/>
        <w:rPr>
          <w:rFonts w:ascii="Times New Roman" w:hAnsi="Times New Roman" w:cs="Times New Roman"/>
          <w:sz w:val="28"/>
          <w:szCs w:val="28"/>
        </w:rPr>
      </w:pPr>
      <w:r>
        <w:rPr>
          <w:rFonts w:ascii="Times New Roman" w:hAnsi="Times New Roman" w:cs="Times New Roman"/>
          <w:sz w:val="28"/>
          <w:szCs w:val="28"/>
        </w:rPr>
        <w:br w:type="page"/>
      </w:r>
      <w:r w:rsidR="005F18AD" w:rsidRPr="008133CF">
        <w:rPr>
          <w:rFonts w:ascii="Times New Roman" w:hAnsi="Times New Roman" w:cs="Times New Roman"/>
          <w:sz w:val="28"/>
          <w:szCs w:val="28"/>
        </w:rPr>
        <w:t xml:space="preserve">National Gas Bulletin Board </w:t>
      </w:r>
    </w:p>
    <w:p w:rsidR="00FB7DD0" w:rsidRPr="001B294E" w:rsidRDefault="00F415E2" w:rsidP="003F51E6">
      <w:pPr>
        <w:pStyle w:val="AERbodytext"/>
        <w:spacing w:before="120" w:after="120"/>
        <w:jc w:val="both"/>
        <w:rPr>
          <w:color w:val="FF0000"/>
        </w:rPr>
      </w:pPr>
      <w:r w:rsidRPr="00A475A2">
        <w:t xml:space="preserve">Figure </w:t>
      </w:r>
      <w:r>
        <w:t>5</w:t>
      </w:r>
      <w:r w:rsidRPr="00A475A2">
        <w:t xml:space="preserve">.1 shows average daily </w:t>
      </w:r>
      <w:r>
        <w:t xml:space="preserve">actual </w:t>
      </w:r>
      <w:r w:rsidRPr="00A475A2">
        <w:t xml:space="preserve">flows for the current week </w:t>
      </w:r>
      <w:r>
        <w:t>in the aqua boxes</w:t>
      </w:r>
      <w:r w:rsidR="002765A2">
        <w:rPr>
          <w:rStyle w:val="FootnoteReference"/>
        </w:rPr>
        <w:footnoteReference w:id="7"/>
      </w:r>
      <w:r>
        <w:t xml:space="preserve"> from </w:t>
      </w:r>
      <w:r w:rsidRPr="00A475A2">
        <w:t xml:space="preserve">the Bulletin Board (changes from the </w:t>
      </w:r>
      <w:r>
        <w:t>previous week’s</w:t>
      </w:r>
      <w:r w:rsidRPr="00A475A2">
        <w:t xml:space="preserve"> average are shown in brackets).</w:t>
      </w:r>
      <w:r w:rsidRPr="00DF25FF">
        <w:t xml:space="preserve"> </w:t>
      </w:r>
      <w:r w:rsidRPr="009B5F18">
        <w:t>G</w:t>
      </w:r>
      <w:r>
        <w:t xml:space="preserve">as-powered generation (GPG) </w:t>
      </w:r>
      <w:r w:rsidRPr="009B5F18">
        <w:t xml:space="preserve">gas usage </w:t>
      </w:r>
      <w:r>
        <w:t xml:space="preserve">is also shown </w:t>
      </w:r>
      <w:r w:rsidRPr="009B5F18">
        <w:t>in each region</w:t>
      </w:r>
      <w:r>
        <w:t xml:space="preserve"> in the aqua boxes. In the orange boxes average daily scheduled volumes and prices for each gas market are provided.</w:t>
      </w:r>
      <w:r w:rsidR="005F18AD">
        <w:t xml:space="preserve"> </w:t>
      </w:r>
    </w:p>
    <w:p w:rsidR="005F18AD" w:rsidRPr="009578D3" w:rsidRDefault="005F18AD" w:rsidP="00750C0F">
      <w:pPr>
        <w:pStyle w:val="AERfigureheading"/>
        <w:tabs>
          <w:tab w:val="clear" w:pos="1361"/>
          <w:tab w:val="num" w:pos="1260"/>
        </w:tabs>
        <w:spacing w:before="120"/>
        <w:ind w:left="1260" w:hanging="1260"/>
        <w:rPr>
          <w:rFonts w:ascii="Arial" w:hAnsi="Arial" w:cs="Arial"/>
          <w:sz w:val="16"/>
          <w:szCs w:val="16"/>
        </w:rPr>
      </w:pPr>
      <w:r w:rsidRPr="009578D3">
        <w:rPr>
          <w:rFonts w:ascii="Arial" w:hAnsi="Arial" w:cs="Arial"/>
          <w:sz w:val="20"/>
          <w:szCs w:val="20"/>
        </w:rPr>
        <w:t xml:space="preserve">Gas </w:t>
      </w:r>
      <w:r w:rsidR="001B294E" w:rsidRPr="009578D3">
        <w:rPr>
          <w:rFonts w:ascii="Arial" w:hAnsi="Arial" w:cs="Arial"/>
          <w:sz w:val="20"/>
          <w:szCs w:val="20"/>
        </w:rPr>
        <w:t>market data ($/GJ, TJ); Production, Consumption and Pipeline flows (TJ)</w:t>
      </w:r>
    </w:p>
    <w:bookmarkEnd w:id="0"/>
    <w:bookmarkEnd w:id="1"/>
    <w:p w:rsidR="009C30E2" w:rsidRPr="006520EE" w:rsidRDefault="003A12A5" w:rsidP="003C5272">
      <w:r>
        <w:pict>
          <v:shape id="_x0000_i1041" type="#_x0000_t75" style="width:475.5pt;height:615.95pt">
            <v:imagedata r:id="rId26" o:title=""/>
          </v:shape>
        </w:pict>
      </w:r>
    </w:p>
    <w:sectPr w:rsidR="009C30E2" w:rsidRPr="006520EE" w:rsidSect="00F415E2">
      <w:pgSz w:w="11907" w:h="16840" w:code="9"/>
      <w:pgMar w:top="539" w:right="1021" w:bottom="737" w:left="1361" w:header="851" w:footer="255" w:gutter="0"/>
      <w:pgBorders w:offsetFrom="page">
        <w:top w:val="none" w:sz="0" w:space="0" w:color="000000"/>
        <w:left w:val="none" w:sz="0" w:space="0" w:color="000000"/>
        <w:bottom w:val="none" w:sz="0" w:space="0" w:color="000000"/>
        <w:right w:val="none" w:sz="0" w:space="0"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6EA" w:rsidRDefault="00FA56EA">
      <w:r>
        <w:separator/>
      </w:r>
    </w:p>
  </w:endnote>
  <w:endnote w:type="continuationSeparator" w:id="0">
    <w:p w:rsidR="00FA56EA" w:rsidRDefault="00FA56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EA" w:rsidRDefault="00FA56EA" w:rsidP="00D22793">
    <w:pPr>
      <w:pBdr>
        <w:top w:val="single" w:sz="4" w:space="0" w:color="auto"/>
      </w:pBdr>
      <w:ind w:left="-284" w:right="-329" w:firstLine="284"/>
      <w:jc w:val="center"/>
      <w:rPr>
        <w:i/>
        <w:sz w:val="16"/>
        <w:szCs w:val="16"/>
      </w:rPr>
    </w:pPr>
    <w:r>
      <w:rPr>
        <w:i/>
        <w:sz w:val="20"/>
      </w:rPr>
      <w:t xml:space="preserve">© Commonwealth of </w:t>
    </w:r>
    <w:smartTag w:uri="urn:schemas-microsoft-com:office:smarttags" w:element="place">
      <w:smartTag w:uri="urn:schemas-microsoft-com:office:smarttags" w:element="country-region">
        <w:r>
          <w:rPr>
            <w:i/>
            <w:sz w:val="20"/>
          </w:rPr>
          <w:t>Australia</w:t>
        </w:r>
      </w:smartTag>
    </w:smartTag>
    <w:r>
      <w:rPr>
        <w:i/>
        <w:sz w:val="20"/>
      </w:rPr>
      <w:t>.</w:t>
    </w:r>
  </w:p>
  <w:p w:rsidR="00FA56EA" w:rsidRDefault="006B5D97" w:rsidP="005A77AC">
    <w:pPr>
      <w:jc w:val="center"/>
    </w:pPr>
    <w:fldSimple w:instr=" PAGE  \* MERGEFORMAT ">
      <w:r w:rsidR="003945D6">
        <w:rPr>
          <w:noProof/>
        </w:rPr>
        <w:t>1</w:t>
      </w:r>
    </w:fldSimple>
  </w:p>
  <w:p w:rsidR="00FA56EA" w:rsidRDefault="00FA56EA" w:rsidP="005A77AC">
    <w:pPr>
      <w:pStyle w:val="Footer"/>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6EA" w:rsidRDefault="00FA56EA">
      <w:r>
        <w:separator/>
      </w:r>
    </w:p>
  </w:footnote>
  <w:footnote w:type="continuationSeparator" w:id="0">
    <w:p w:rsidR="00FA56EA" w:rsidRDefault="00FA56EA">
      <w:r>
        <w:continuationSeparator/>
      </w:r>
    </w:p>
  </w:footnote>
  <w:footnote w:id="1">
    <w:p w:rsidR="00FA56EA" w:rsidRDefault="00FA56EA">
      <w:pPr>
        <w:pStyle w:val="FootnoteText"/>
      </w:pPr>
      <w:r>
        <w:rPr>
          <w:rStyle w:val="FootnoteReference"/>
        </w:rPr>
        <w:footnoteRef/>
      </w:r>
      <w:r>
        <w:t xml:space="preserve"> </w:t>
      </w:r>
      <w:r>
        <w:tab/>
        <w:t xml:space="preserve">The weighted average daily imbalance price applies for </w:t>
      </w:r>
      <w:smartTag w:uri="urn:schemas-microsoft-com:office:smarttags" w:element="State">
        <w:smartTag w:uri="urn:schemas-microsoft-com:office:smarttags" w:element="place">
          <w:r>
            <w:t>Victoria</w:t>
          </w:r>
        </w:smartTag>
      </w:smartTag>
      <w:r>
        <w:t>.</w:t>
      </w:r>
    </w:p>
  </w:footnote>
  <w:footnote w:id="2">
    <w:p w:rsidR="00FA56EA" w:rsidRPr="006F4169" w:rsidRDefault="00FA56EA" w:rsidP="00E74D68">
      <w:pPr>
        <w:pStyle w:val="FootnoteText"/>
        <w:ind w:left="180" w:hanging="180"/>
        <w:rPr>
          <w:sz w:val="18"/>
          <w:szCs w:val="18"/>
        </w:rPr>
      </w:pPr>
      <w:r>
        <w:rPr>
          <w:rStyle w:val="FootnoteReference"/>
        </w:rPr>
        <w:footnoteRef/>
      </w:r>
      <w:r>
        <w:t xml:space="preserve">  </w:t>
      </w:r>
      <w:r w:rsidRPr="006F4169">
        <w:rPr>
          <w:sz w:val="18"/>
          <w:szCs w:val="18"/>
        </w:rPr>
        <w:t>These are Market Participants’ aggregate demand forecasts adjusted for any override</w:t>
      </w:r>
      <w:r>
        <w:rPr>
          <w:sz w:val="18"/>
          <w:szCs w:val="18"/>
        </w:rPr>
        <w:t xml:space="preserve"> as</w:t>
      </w:r>
      <w:r w:rsidRPr="006F4169">
        <w:rPr>
          <w:sz w:val="18"/>
          <w:szCs w:val="18"/>
        </w:rPr>
        <w:t xml:space="preserve"> applied by AEMO</w:t>
      </w:r>
      <w:r>
        <w:rPr>
          <w:sz w:val="18"/>
          <w:szCs w:val="18"/>
        </w:rPr>
        <w:t xml:space="preserve"> from time to time</w:t>
      </w:r>
      <w:r w:rsidRPr="006F4169">
        <w:rPr>
          <w:sz w:val="18"/>
          <w:szCs w:val="18"/>
        </w:rPr>
        <w:t>.</w:t>
      </w:r>
      <w:r>
        <w:rPr>
          <w:sz w:val="18"/>
          <w:szCs w:val="18"/>
        </w:rPr>
        <w:t xml:space="preserve"> </w:t>
      </w:r>
      <w:r w:rsidRPr="00C9081C">
        <w:rPr>
          <w:sz w:val="18"/>
          <w:szCs w:val="18"/>
        </w:rPr>
        <w:t>The main driver of the amount of gas scheduled on a gas day are these forecasts which are forecasts  that cannot respond to price</w:t>
      </w:r>
      <w:r>
        <w:rPr>
          <w:sz w:val="18"/>
          <w:szCs w:val="18"/>
        </w:rPr>
        <w:t xml:space="preserve"> or in other words is gas delivered regardless of the price.</w:t>
      </w:r>
    </w:p>
  </w:footnote>
  <w:footnote w:id="3">
    <w:p w:rsidR="00FA56EA" w:rsidRDefault="00FA56EA" w:rsidP="00E74D68">
      <w:pPr>
        <w:pStyle w:val="FootnoteText"/>
        <w:ind w:left="180" w:hanging="180"/>
      </w:pPr>
      <w:r>
        <w:rPr>
          <w:rStyle w:val="FootnoteReference"/>
        </w:rPr>
        <w:footnoteRef/>
      </w:r>
      <w:r>
        <w:t xml:space="preserve"> </w:t>
      </w:r>
      <w:r>
        <w:tab/>
      </w:r>
      <w:r w:rsidRPr="00DB0182">
        <w:rPr>
          <w:sz w:val="18"/>
          <w:szCs w:val="18"/>
        </w:rPr>
        <w:t xml:space="preserve">The price might also be affected by </w:t>
      </w:r>
      <w:r>
        <w:rPr>
          <w:sz w:val="18"/>
          <w:szCs w:val="18"/>
        </w:rPr>
        <w:t xml:space="preserve">transmission or production (contractual) </w:t>
      </w:r>
      <w:r w:rsidRPr="00DB0182">
        <w:rPr>
          <w:sz w:val="18"/>
          <w:szCs w:val="18"/>
        </w:rPr>
        <w:t xml:space="preserve">constraints </w:t>
      </w:r>
      <w:r>
        <w:rPr>
          <w:sz w:val="18"/>
          <w:szCs w:val="18"/>
        </w:rPr>
        <w:t>limiting how</w:t>
      </w:r>
      <w:r w:rsidRPr="00DB0182">
        <w:rPr>
          <w:sz w:val="18"/>
          <w:szCs w:val="18"/>
        </w:rPr>
        <w:t xml:space="preserve"> much gas can be delivered from </w:t>
      </w:r>
      <w:r>
        <w:rPr>
          <w:sz w:val="18"/>
          <w:szCs w:val="18"/>
        </w:rPr>
        <w:t>a locale or System Injection Point (SIP)</w:t>
      </w:r>
      <w:r w:rsidRPr="00DB0182">
        <w:rPr>
          <w:sz w:val="18"/>
          <w:szCs w:val="18"/>
        </w:rPr>
        <w:t xml:space="preserve"> from time to time.</w:t>
      </w:r>
    </w:p>
  </w:footnote>
  <w:footnote w:id="4">
    <w:p w:rsidR="00FA56EA" w:rsidRDefault="00FA56EA" w:rsidP="00E74D68">
      <w:pPr>
        <w:pStyle w:val="FootnoteText"/>
        <w:ind w:left="180" w:hanging="180"/>
      </w:pPr>
      <w:r>
        <w:rPr>
          <w:rStyle w:val="FootnoteReference"/>
        </w:rPr>
        <w:footnoteRef/>
      </w:r>
      <w:r>
        <w:t xml:space="preserve"> </w:t>
      </w:r>
      <w:r>
        <w:tab/>
      </w:r>
      <w:r w:rsidRPr="00DB0182">
        <w:rPr>
          <w:sz w:val="18"/>
          <w:szCs w:val="18"/>
        </w:rPr>
        <w:t xml:space="preserve">The price might also be affected by </w:t>
      </w:r>
      <w:r>
        <w:rPr>
          <w:sz w:val="18"/>
          <w:szCs w:val="18"/>
        </w:rPr>
        <w:t xml:space="preserve">transmission or production (contractual) </w:t>
      </w:r>
      <w:r w:rsidRPr="00DB0182">
        <w:rPr>
          <w:sz w:val="18"/>
          <w:szCs w:val="18"/>
        </w:rPr>
        <w:t xml:space="preserve">constraints </w:t>
      </w:r>
      <w:r>
        <w:rPr>
          <w:sz w:val="18"/>
          <w:szCs w:val="18"/>
        </w:rPr>
        <w:t>limiting how</w:t>
      </w:r>
      <w:r w:rsidRPr="00DB0182">
        <w:rPr>
          <w:sz w:val="18"/>
          <w:szCs w:val="18"/>
        </w:rPr>
        <w:t xml:space="preserve"> much gas can be delivered from </w:t>
      </w:r>
      <w:r>
        <w:rPr>
          <w:sz w:val="18"/>
          <w:szCs w:val="18"/>
        </w:rPr>
        <w:t>a locale or SIP</w:t>
      </w:r>
      <w:r w:rsidRPr="00DB0182">
        <w:rPr>
          <w:sz w:val="18"/>
          <w:szCs w:val="18"/>
        </w:rPr>
        <w:t xml:space="preserve"> from time to time.</w:t>
      </w:r>
    </w:p>
  </w:footnote>
  <w:footnote w:id="5">
    <w:p w:rsidR="00FA56EA" w:rsidRDefault="00FA56EA" w:rsidP="00B24A61">
      <w:pPr>
        <w:pStyle w:val="FootnoteText"/>
        <w:ind w:left="180" w:hanging="180"/>
      </w:pPr>
      <w:r>
        <w:rPr>
          <w:rStyle w:val="FootnoteReference"/>
        </w:rPr>
        <w:footnoteRef/>
      </w:r>
      <w:r>
        <w:t xml:space="preserve"> The main driver of the amount of gas scheduled on a gas day is the ‘price-taker’ bid, which is forecast hub demand that cannot respond to price and which must be delivered, regardless of the price.</w:t>
      </w:r>
    </w:p>
  </w:footnote>
  <w:footnote w:id="6">
    <w:p w:rsidR="00FA56EA" w:rsidRPr="009C7F8C" w:rsidRDefault="00FA56EA" w:rsidP="00B24A61">
      <w:pPr>
        <w:pStyle w:val="AERbodytext"/>
        <w:spacing w:before="120" w:after="120"/>
        <w:ind w:left="180" w:hanging="180"/>
        <w:jc w:val="both"/>
      </w:pPr>
      <w:r>
        <w:rPr>
          <w:rStyle w:val="FootnoteReference"/>
        </w:rPr>
        <w:footnoteRef/>
      </w:r>
      <w:r>
        <w:t xml:space="preserve"> </w:t>
      </w:r>
      <w:r>
        <w:rPr>
          <w:sz w:val="20"/>
          <w:szCs w:val="20"/>
        </w:rPr>
        <w:t>MOS service payments involve a payment for a MOS increase service when the actual quantity delivered exceeds final gas nominations for delivery to a hub, and a payment for a MOS decrease service when the actual quantity delivered is less than final nominations. As well as a MOS service payment, as shown in figure 2.4, MOS providers are paid for or pay for the quantity of MOS sold into the market or bought from the market.</w:t>
      </w:r>
    </w:p>
    <w:p w:rsidR="00FA56EA" w:rsidRDefault="00FA56EA" w:rsidP="00B24A61">
      <w:pPr>
        <w:pStyle w:val="FootnoteText"/>
      </w:pPr>
    </w:p>
  </w:footnote>
  <w:footnote w:id="7">
    <w:p w:rsidR="00FA56EA" w:rsidRDefault="00FA56EA">
      <w:pPr>
        <w:pStyle w:val="FootnoteText"/>
      </w:pPr>
      <w:r>
        <w:rPr>
          <w:rStyle w:val="FootnoteReference"/>
        </w:rPr>
        <w:footnoteRef/>
      </w:r>
      <w:r>
        <w:t xml:space="preserve"> Regional Gas Flows:  </w:t>
      </w:r>
      <w:r w:rsidRPr="0060480F">
        <w:rPr>
          <w:b/>
        </w:rPr>
        <w:t>SA</w:t>
      </w:r>
      <w:r w:rsidRPr="0060480F">
        <w:t xml:space="preserve"> = MAP + SEAGAS, </w:t>
      </w:r>
      <w:r w:rsidRPr="0060480F">
        <w:rPr>
          <w:b/>
        </w:rPr>
        <w:t>VIC</w:t>
      </w:r>
      <w:r w:rsidRPr="0060480F">
        <w:t xml:space="preserve"> = SWP + LMP – negative(NSW-VIC), </w:t>
      </w:r>
    </w:p>
    <w:p w:rsidR="00FA56EA" w:rsidRDefault="00FA56EA">
      <w:pPr>
        <w:pStyle w:val="FootnoteText"/>
      </w:pPr>
      <w:r w:rsidRPr="0060480F">
        <w:rPr>
          <w:b/>
        </w:rPr>
        <w:t>NSW/ACT</w:t>
      </w:r>
      <w:r w:rsidRPr="0060480F">
        <w:t xml:space="preserve"> = EGP + MSP, </w:t>
      </w:r>
      <w:r w:rsidRPr="0060480F">
        <w:rPr>
          <w:b/>
        </w:rPr>
        <w:t>TAS</w:t>
      </w:r>
      <w:r w:rsidRPr="0060480F">
        <w:t xml:space="preserve"> = TGP, </w:t>
      </w:r>
      <w:r w:rsidRPr="0060480F">
        <w:rPr>
          <w:b/>
        </w:rPr>
        <w:t>QLD</w:t>
      </w:r>
      <w:r>
        <w:rPr>
          <w:b/>
        </w:rPr>
        <w:t> </w:t>
      </w:r>
      <w:r w:rsidRPr="0060480F">
        <w:rPr>
          <w:b/>
        </w:rPr>
        <w:t>(Brisbane)</w:t>
      </w:r>
      <w:r w:rsidRPr="0060480F">
        <w:t xml:space="preserve"> = RBP, </w:t>
      </w:r>
      <w:r w:rsidRPr="0060480F">
        <w:rPr>
          <w:b/>
        </w:rPr>
        <w:t>QLD</w:t>
      </w:r>
      <w:r>
        <w:rPr>
          <w:b/>
        </w:rPr>
        <w:t> </w:t>
      </w:r>
      <w:r w:rsidRPr="0060480F">
        <w:rPr>
          <w:b/>
        </w:rPr>
        <w:t>(Mt</w:t>
      </w:r>
      <w:r>
        <w:rPr>
          <w:b/>
        </w:rPr>
        <w:t> </w:t>
      </w:r>
      <w:r w:rsidRPr="0060480F">
        <w:rPr>
          <w:b/>
        </w:rPr>
        <w:t>Isa)</w:t>
      </w:r>
      <w:r w:rsidRPr="0060480F">
        <w:t xml:space="preserve"> = CGP, </w:t>
      </w:r>
      <w:r w:rsidRPr="0060480F">
        <w:rPr>
          <w:b/>
        </w:rPr>
        <w:t>QLD</w:t>
      </w:r>
      <w:r>
        <w:rPr>
          <w:b/>
        </w:rPr>
        <w:t> </w:t>
      </w:r>
      <w:r w:rsidRPr="0060480F">
        <w:rPr>
          <w:b/>
        </w:rPr>
        <w:t>(Gladstone)</w:t>
      </w:r>
      <w:r w:rsidRPr="0060480F">
        <w:t xml:space="preserve"> = QGP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EA2456"/>
    <w:lvl w:ilvl="0">
      <w:start w:val="1"/>
      <w:numFmt w:val="decimal"/>
      <w:lvlText w:val="%1."/>
      <w:lvlJc w:val="left"/>
      <w:pPr>
        <w:tabs>
          <w:tab w:val="num" w:pos="1492"/>
        </w:tabs>
        <w:ind w:left="1492" w:hanging="360"/>
      </w:pPr>
    </w:lvl>
  </w:abstractNum>
  <w:abstractNum w:abstractNumId="1">
    <w:nsid w:val="FFFFFF7D"/>
    <w:multiLevelType w:val="singleLevel"/>
    <w:tmpl w:val="CE529D94"/>
    <w:lvl w:ilvl="0">
      <w:start w:val="1"/>
      <w:numFmt w:val="decimal"/>
      <w:lvlText w:val="%1."/>
      <w:lvlJc w:val="left"/>
      <w:pPr>
        <w:tabs>
          <w:tab w:val="num" w:pos="1209"/>
        </w:tabs>
        <w:ind w:left="1209" w:hanging="360"/>
      </w:pPr>
    </w:lvl>
  </w:abstractNum>
  <w:abstractNum w:abstractNumId="2">
    <w:nsid w:val="FFFFFF7E"/>
    <w:multiLevelType w:val="singleLevel"/>
    <w:tmpl w:val="15D60B90"/>
    <w:lvl w:ilvl="0">
      <w:start w:val="1"/>
      <w:numFmt w:val="decimal"/>
      <w:lvlText w:val="%1."/>
      <w:lvlJc w:val="left"/>
      <w:pPr>
        <w:tabs>
          <w:tab w:val="num" w:pos="926"/>
        </w:tabs>
        <w:ind w:left="926" w:hanging="360"/>
      </w:pPr>
    </w:lvl>
  </w:abstractNum>
  <w:abstractNum w:abstractNumId="3">
    <w:nsid w:val="FFFFFF7F"/>
    <w:multiLevelType w:val="singleLevel"/>
    <w:tmpl w:val="F6246E1C"/>
    <w:lvl w:ilvl="0">
      <w:start w:val="1"/>
      <w:numFmt w:val="decimal"/>
      <w:lvlText w:val="%1."/>
      <w:lvlJc w:val="left"/>
      <w:pPr>
        <w:tabs>
          <w:tab w:val="num" w:pos="643"/>
        </w:tabs>
        <w:ind w:left="643" w:hanging="360"/>
      </w:pPr>
    </w:lvl>
  </w:abstractNum>
  <w:abstractNum w:abstractNumId="4">
    <w:nsid w:val="FFFFFF80"/>
    <w:multiLevelType w:val="singleLevel"/>
    <w:tmpl w:val="7110F4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AE1B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FE48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4494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66F746"/>
    <w:lvl w:ilvl="0">
      <w:start w:val="1"/>
      <w:numFmt w:val="decimal"/>
      <w:lvlText w:val="%1."/>
      <w:lvlJc w:val="left"/>
      <w:pPr>
        <w:tabs>
          <w:tab w:val="num" w:pos="360"/>
        </w:tabs>
        <w:ind w:left="360" w:hanging="360"/>
      </w:pPr>
    </w:lvl>
  </w:abstractNum>
  <w:abstractNum w:abstractNumId="9">
    <w:nsid w:val="FFFFFF89"/>
    <w:multiLevelType w:val="singleLevel"/>
    <w:tmpl w:val="8A9ADCB2"/>
    <w:lvl w:ilvl="0">
      <w:start w:val="1"/>
      <w:numFmt w:val="bullet"/>
      <w:lvlText w:val=""/>
      <w:lvlJc w:val="left"/>
      <w:pPr>
        <w:tabs>
          <w:tab w:val="num" w:pos="360"/>
        </w:tabs>
        <w:ind w:left="360" w:hanging="360"/>
      </w:pPr>
      <w:rPr>
        <w:rFonts w:ascii="Symbol" w:hAnsi="Symbol" w:hint="default"/>
      </w:rPr>
    </w:lvl>
  </w:abstractNum>
  <w:abstractNum w:abstractNumId="10">
    <w:nsid w:val="03173A1E"/>
    <w:multiLevelType w:val="multilevel"/>
    <w:tmpl w:val="C208469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11">
    <w:nsid w:val="04747E6E"/>
    <w:multiLevelType w:val="multilevel"/>
    <w:tmpl w:val="4BAC67F8"/>
    <w:lvl w:ilvl="0">
      <w:start w:val="1"/>
      <w:numFmt w:val="upperLetter"/>
      <w:pStyle w:val="AERappendixheading1"/>
      <w:lvlText w:val="%1"/>
      <w:lvlJc w:val="left"/>
      <w:pPr>
        <w:tabs>
          <w:tab w:val="num" w:pos="851"/>
        </w:tabs>
        <w:ind w:left="851" w:hanging="851"/>
      </w:pPr>
      <w:rPr>
        <w:rFonts w:hint="default"/>
      </w:rPr>
    </w:lvl>
    <w:lvl w:ilvl="1">
      <w:start w:val="1"/>
      <w:numFmt w:val="decimal"/>
      <w:pStyle w:val="AERappendixheading2"/>
      <w:lvlText w:val="%1.%2"/>
      <w:lvlJc w:val="left"/>
      <w:pPr>
        <w:tabs>
          <w:tab w:val="num" w:pos="851"/>
        </w:tabs>
        <w:ind w:left="851" w:hanging="851"/>
      </w:pPr>
      <w:rPr>
        <w:rFonts w:hint="default"/>
      </w:rPr>
    </w:lvl>
    <w:lvl w:ilvl="2">
      <w:start w:val="1"/>
      <w:numFmt w:val="decimal"/>
      <w:pStyle w:val="AERappendixheading3"/>
      <w:lvlText w:val="%1.%2.%3"/>
      <w:lvlJc w:val="left"/>
      <w:pPr>
        <w:tabs>
          <w:tab w:val="num" w:pos="851"/>
        </w:tabs>
        <w:ind w:left="851" w:hanging="851"/>
      </w:pPr>
      <w:rPr>
        <w:rFonts w:hint="default"/>
      </w:rPr>
    </w:lvl>
    <w:lvl w:ilvl="3">
      <w:start w:val="1"/>
      <w:numFmt w:val="decimal"/>
      <w:pStyle w:val="AERappendixheading4"/>
      <w:lvlText w:val="%1.%2.%3.%4"/>
      <w:lvlJc w:val="left"/>
      <w:pPr>
        <w:tabs>
          <w:tab w:val="num" w:pos="851"/>
        </w:tabs>
        <w:ind w:left="851" w:hanging="851"/>
      </w:pPr>
      <w:rPr>
        <w:rFonts w:hint="default"/>
      </w:rPr>
    </w:lvl>
    <w:lvl w:ilvl="4">
      <w:start w:val="1"/>
      <w:numFmt w:val="decimal"/>
      <w:lvlRestart w:val="1"/>
      <w:pStyle w:val="AERappendixtableheading"/>
      <w:lvlText w:val="Table %1.%5"/>
      <w:lvlJc w:val="left"/>
      <w:pPr>
        <w:tabs>
          <w:tab w:val="num" w:pos="1361"/>
        </w:tabs>
        <w:ind w:left="1361" w:hanging="1361"/>
      </w:pPr>
      <w:rPr>
        <w:rFonts w:hint="default"/>
      </w:rPr>
    </w:lvl>
    <w:lvl w:ilvl="5">
      <w:start w:val="1"/>
      <w:numFmt w:val="decimal"/>
      <w:lvlRestart w:val="1"/>
      <w:pStyle w:val="AERappendixfigureheading"/>
      <w:lvlText w:val="Figure %1.%6"/>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9DE17AE"/>
    <w:multiLevelType w:val="multilevel"/>
    <w:tmpl w:val="2C6A2F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lowerLetter"/>
      <w:lvlRestart w:val="0"/>
      <w:lvlText w:val="Figure 2.2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13">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1CC265AB"/>
    <w:multiLevelType w:val="multilevel"/>
    <w:tmpl w:val="C208469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15">
    <w:nsid w:val="2B127A5F"/>
    <w:multiLevelType w:val="multilevel"/>
    <w:tmpl w:val="C7BE72A6"/>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6">
    <w:nsid w:val="301B31FF"/>
    <w:multiLevelType w:val="multilevel"/>
    <w:tmpl w:val="228CA4AE"/>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3919EB"/>
    <w:multiLevelType w:val="multilevel"/>
    <w:tmpl w:val="3D1013E2"/>
    <w:lvl w:ilvl="0">
      <w:start w:val="1"/>
      <w:numFmt w:val="decimal"/>
      <w:lvlText w:val="Figure %1:"/>
      <w:lvlJc w:val="left"/>
      <w:pPr>
        <w:tabs>
          <w:tab w:val="num" w:pos="0"/>
        </w:tabs>
        <w:ind w:left="1134" w:hanging="1134"/>
      </w:pPr>
      <w:rPr>
        <w:rFonts w:hint="default"/>
      </w:rPr>
    </w:lvl>
    <w:lvl w:ilvl="1">
      <w:start w:val="2"/>
      <w:numFmt w:val="decimal"/>
      <w:lvlRestart w:val="0"/>
      <w:pStyle w:val="FigHeadingN"/>
      <w:lvlText w:val="Figure N%2:"/>
      <w:lvlJc w:val="left"/>
      <w:pPr>
        <w:tabs>
          <w:tab w:val="num" w:pos="0"/>
        </w:tabs>
        <w:ind w:left="1134" w:hanging="1134"/>
      </w:pPr>
      <w:rPr>
        <w:rFonts w:hint="default"/>
      </w:rPr>
    </w:lvl>
    <w:lvl w:ilvl="2">
      <w:start w:val="1"/>
      <w:numFmt w:val="decimal"/>
      <w:lvlRestart w:val="0"/>
      <w:pStyle w:val="FigHeadingV"/>
      <w:lvlText w:val="Figure V%3:"/>
      <w:lvlJc w:val="left"/>
      <w:pPr>
        <w:tabs>
          <w:tab w:val="num" w:pos="0"/>
        </w:tabs>
        <w:ind w:left="1134" w:hanging="1134"/>
      </w:pPr>
      <w:rPr>
        <w:rFonts w:hint="default"/>
      </w:rPr>
    </w:lvl>
    <w:lvl w:ilvl="3">
      <w:start w:val="1"/>
      <w:numFmt w:val="decimal"/>
      <w:lvlRestart w:val="0"/>
      <w:lvlText w:val="Figure S%4:"/>
      <w:lvlJc w:val="left"/>
      <w:pPr>
        <w:tabs>
          <w:tab w:val="num" w:pos="0"/>
        </w:tabs>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Restart w:val="0"/>
      <w:lvlText w:val="Figure A%5:"/>
      <w:lvlJc w:val="left"/>
      <w:pPr>
        <w:tabs>
          <w:tab w:val="num" w:pos="0"/>
        </w:tabs>
        <w:ind w:left="1134" w:hanging="1134"/>
      </w:pPr>
      <w:rPr>
        <w:rFonts w:hint="default"/>
      </w:rPr>
    </w:lvl>
    <w:lvl w:ilvl="5">
      <w:start w:val="1"/>
      <w:numFmt w:val="decimal"/>
      <w:lvlRestart w:val="0"/>
      <w:lvlText w:val="Figure A%6:"/>
      <w:lvlJc w:val="left"/>
      <w:pPr>
        <w:tabs>
          <w:tab w:val="num" w:pos="1134"/>
        </w:tabs>
        <w:ind w:left="1134" w:hanging="1134"/>
      </w:pPr>
      <w:rPr>
        <w:rFonts w:hint="default"/>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361"/>
        </w:tabs>
        <w:ind w:left="1361" w:hanging="1361"/>
      </w:pPr>
      <w:rPr>
        <w:rFonts w:hint="default"/>
      </w:rPr>
    </w:lvl>
    <w:lvl w:ilvl="8">
      <w:start w:val="1"/>
      <w:numFmt w:val="none"/>
      <w:lvlText w:val=""/>
      <w:lvlJc w:val="right"/>
      <w:pPr>
        <w:tabs>
          <w:tab w:val="num" w:pos="1584"/>
        </w:tabs>
        <w:ind w:left="1584" w:hanging="144"/>
      </w:pPr>
      <w:rPr>
        <w:rFonts w:hint="default"/>
      </w:rPr>
    </w:lvl>
  </w:abstractNum>
  <w:abstractNum w:abstractNumId="18">
    <w:nsid w:val="3BA8635F"/>
    <w:multiLevelType w:val="hybridMultilevel"/>
    <w:tmpl w:val="A3B4D3C6"/>
    <w:lvl w:ilvl="0" w:tplc="45E48EE6">
      <w:start w:val="1"/>
      <w:numFmt w:val="bullet"/>
      <w:lvlText w:val=""/>
      <w:lvlJc w:val="left"/>
      <w:pPr>
        <w:tabs>
          <w:tab w:val="num" w:pos="1588"/>
        </w:tabs>
        <w:ind w:left="1588" w:hanging="1588"/>
      </w:pPr>
      <w:rPr>
        <w:rFonts w:ascii="Wingdings" w:hAnsi="Wingdings" w:hint="default"/>
        <w:color w:val="auto"/>
        <w:sz w:val="16"/>
        <w:szCs w:val="28"/>
      </w:rPr>
    </w:lvl>
    <w:lvl w:ilvl="1" w:tplc="FC2E1422">
      <w:start w:val="1"/>
      <w:numFmt w:val="bullet"/>
      <w:pStyle w:val="AERquotebullet1"/>
      <w:lvlText w:val=""/>
      <w:lvlJc w:val="left"/>
      <w:pPr>
        <w:tabs>
          <w:tab w:val="num" w:pos="1378"/>
        </w:tabs>
        <w:ind w:left="1378" w:hanging="357"/>
      </w:pPr>
      <w:rPr>
        <w:rFonts w:ascii="Wingdings" w:hAnsi="Wingdings" w:hint="default"/>
        <w:color w:val="auto"/>
        <w:sz w:val="16"/>
        <w:szCs w:val="2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FAE2F51"/>
    <w:multiLevelType w:val="multilevel"/>
    <w:tmpl w:val="5240EA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20">
    <w:nsid w:val="412A313D"/>
    <w:multiLevelType w:val="multilevel"/>
    <w:tmpl w:val="C208469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21">
    <w:nsid w:val="43B70C47"/>
    <w:multiLevelType w:val="multilevel"/>
    <w:tmpl w:val="0B621CD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lowerLetter"/>
      <w:lvlRestart w:val="0"/>
      <w:lvlText w:val="Figure 2.2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22">
    <w:nsid w:val="44385E0E"/>
    <w:multiLevelType w:val="multilevel"/>
    <w:tmpl w:val="5074CBC8"/>
    <w:lvl w:ilvl="0">
      <w:start w:val="1"/>
      <w:numFmt w:val="decimal"/>
      <w:pStyle w:val="FigHeading"/>
      <w:lvlText w:val="Figure %1:"/>
      <w:lvlJc w:val="left"/>
      <w:pPr>
        <w:tabs>
          <w:tab w:val="num" w:pos="0"/>
        </w:tabs>
        <w:ind w:left="1134" w:hanging="1134"/>
      </w:pPr>
      <w:rPr>
        <w:rFonts w:hint="default"/>
      </w:rPr>
    </w:lvl>
    <w:lvl w:ilvl="1">
      <w:start w:val="2"/>
      <w:numFmt w:val="decimal"/>
      <w:lvlRestart w:val="0"/>
      <w:lvlText w:val="Figure N%2:"/>
      <w:lvlJc w:val="left"/>
      <w:pPr>
        <w:tabs>
          <w:tab w:val="num" w:pos="0"/>
        </w:tabs>
        <w:ind w:left="1134" w:hanging="1134"/>
      </w:pPr>
      <w:rPr>
        <w:rFonts w:hint="default"/>
      </w:rPr>
    </w:lvl>
    <w:lvl w:ilvl="2">
      <w:start w:val="1"/>
      <w:numFmt w:val="decimal"/>
      <w:lvlRestart w:val="0"/>
      <w:lvlText w:val="Figure V%3:"/>
      <w:lvlJc w:val="left"/>
      <w:pPr>
        <w:tabs>
          <w:tab w:val="num" w:pos="0"/>
        </w:tabs>
        <w:ind w:left="1134" w:hanging="1134"/>
      </w:pPr>
      <w:rPr>
        <w:rFonts w:hint="default"/>
      </w:rPr>
    </w:lvl>
    <w:lvl w:ilvl="3">
      <w:start w:val="1"/>
      <w:numFmt w:val="decimal"/>
      <w:lvlRestart w:val="0"/>
      <w:pStyle w:val="FigHeadingS"/>
      <w:lvlText w:val="Figure S%4:"/>
      <w:lvlJc w:val="left"/>
      <w:pPr>
        <w:tabs>
          <w:tab w:val="num" w:pos="0"/>
        </w:tabs>
        <w:ind w:left="1134" w:hanging="1134"/>
      </w:pPr>
      <w:rPr>
        <w:rFonts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Restart w:val="0"/>
      <w:lvlText w:val="Figure A%5:"/>
      <w:lvlJc w:val="left"/>
      <w:pPr>
        <w:tabs>
          <w:tab w:val="num" w:pos="0"/>
        </w:tabs>
        <w:ind w:left="1134" w:hanging="1134"/>
      </w:pPr>
      <w:rPr>
        <w:rFonts w:hint="default"/>
      </w:rPr>
    </w:lvl>
    <w:lvl w:ilvl="5">
      <w:start w:val="1"/>
      <w:numFmt w:val="decimal"/>
      <w:lvlRestart w:val="0"/>
      <w:pStyle w:val="FigheadingA"/>
      <w:lvlText w:val="Figure A%6:"/>
      <w:lvlJc w:val="left"/>
      <w:pPr>
        <w:tabs>
          <w:tab w:val="num" w:pos="5814"/>
        </w:tabs>
        <w:ind w:left="5814" w:hanging="1134"/>
      </w:pPr>
      <w:rPr>
        <w:rFonts w:hint="default"/>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361"/>
        </w:tabs>
        <w:ind w:left="1361" w:hanging="1361"/>
      </w:pPr>
      <w:rPr>
        <w:rFonts w:hint="default"/>
      </w:rPr>
    </w:lvl>
    <w:lvl w:ilvl="8">
      <w:start w:val="1"/>
      <w:numFmt w:val="none"/>
      <w:lvlText w:val=""/>
      <w:lvlJc w:val="right"/>
      <w:pPr>
        <w:tabs>
          <w:tab w:val="num" w:pos="1584"/>
        </w:tabs>
        <w:ind w:left="1584" w:hanging="144"/>
      </w:pPr>
      <w:rPr>
        <w:rFonts w:hint="default"/>
      </w:rPr>
    </w:lvl>
  </w:abstractNum>
  <w:abstractNum w:abstractNumId="23">
    <w:nsid w:val="443F74CB"/>
    <w:multiLevelType w:val="hybridMultilevel"/>
    <w:tmpl w:val="D5F80586"/>
    <w:lvl w:ilvl="0" w:tplc="95F8B2D2">
      <w:start w:val="1"/>
      <w:numFmt w:val="decimal"/>
      <w:pStyle w:val="AERnumberedlistfirststyle"/>
      <w:lvlText w:val="%1."/>
      <w:lvlJc w:val="left"/>
      <w:pPr>
        <w:tabs>
          <w:tab w:val="num" w:pos="357"/>
        </w:tabs>
        <w:ind w:left="357" w:hanging="357"/>
      </w:pPr>
      <w:rPr>
        <w:rFonts w:ascii="Times New Roman" w:hAnsi="Times New Roman" w:hint="default"/>
        <w:b w:val="0"/>
        <w:i w:val="0"/>
        <w:sz w:val="24"/>
      </w:rPr>
    </w:lvl>
    <w:lvl w:ilvl="1" w:tplc="ED80F18C" w:tentative="1">
      <w:start w:val="1"/>
      <w:numFmt w:val="lowerLetter"/>
      <w:lvlText w:val="%2."/>
      <w:lvlJc w:val="left"/>
      <w:pPr>
        <w:tabs>
          <w:tab w:val="num" w:pos="1440"/>
        </w:tabs>
        <w:ind w:left="1440" w:hanging="360"/>
      </w:pPr>
    </w:lvl>
    <w:lvl w:ilvl="2" w:tplc="204668FE" w:tentative="1">
      <w:start w:val="1"/>
      <w:numFmt w:val="lowerRoman"/>
      <w:lvlText w:val="%3."/>
      <w:lvlJc w:val="right"/>
      <w:pPr>
        <w:tabs>
          <w:tab w:val="num" w:pos="2160"/>
        </w:tabs>
        <w:ind w:left="2160" w:hanging="180"/>
      </w:pPr>
    </w:lvl>
    <w:lvl w:ilvl="3" w:tplc="447A85C8" w:tentative="1">
      <w:start w:val="1"/>
      <w:numFmt w:val="decimal"/>
      <w:lvlText w:val="%4."/>
      <w:lvlJc w:val="left"/>
      <w:pPr>
        <w:tabs>
          <w:tab w:val="num" w:pos="2880"/>
        </w:tabs>
        <w:ind w:left="2880" w:hanging="360"/>
      </w:pPr>
    </w:lvl>
    <w:lvl w:ilvl="4" w:tplc="C0949998">
      <w:start w:val="1"/>
      <w:numFmt w:val="lowerLetter"/>
      <w:lvlText w:val="%5."/>
      <w:lvlJc w:val="left"/>
      <w:pPr>
        <w:tabs>
          <w:tab w:val="num" w:pos="3600"/>
        </w:tabs>
        <w:ind w:left="3600" w:hanging="360"/>
      </w:pPr>
    </w:lvl>
    <w:lvl w:ilvl="5" w:tplc="CC56BE38">
      <w:start w:val="1"/>
      <w:numFmt w:val="lowerRoman"/>
      <w:lvlText w:val="%6."/>
      <w:lvlJc w:val="right"/>
      <w:pPr>
        <w:tabs>
          <w:tab w:val="num" w:pos="4320"/>
        </w:tabs>
        <w:ind w:left="4320" w:hanging="180"/>
      </w:pPr>
    </w:lvl>
    <w:lvl w:ilvl="6" w:tplc="0D306B9E" w:tentative="1">
      <w:start w:val="1"/>
      <w:numFmt w:val="decimal"/>
      <w:lvlText w:val="%7."/>
      <w:lvlJc w:val="left"/>
      <w:pPr>
        <w:tabs>
          <w:tab w:val="num" w:pos="5040"/>
        </w:tabs>
        <w:ind w:left="5040" w:hanging="360"/>
      </w:pPr>
    </w:lvl>
    <w:lvl w:ilvl="7" w:tplc="F5E62C96" w:tentative="1">
      <w:start w:val="1"/>
      <w:numFmt w:val="lowerLetter"/>
      <w:lvlText w:val="%8."/>
      <w:lvlJc w:val="left"/>
      <w:pPr>
        <w:tabs>
          <w:tab w:val="num" w:pos="5760"/>
        </w:tabs>
        <w:ind w:left="5760" w:hanging="360"/>
      </w:pPr>
    </w:lvl>
    <w:lvl w:ilvl="8" w:tplc="FF946138" w:tentative="1">
      <w:start w:val="1"/>
      <w:numFmt w:val="lowerRoman"/>
      <w:lvlText w:val="%9."/>
      <w:lvlJc w:val="right"/>
      <w:pPr>
        <w:tabs>
          <w:tab w:val="num" w:pos="6480"/>
        </w:tabs>
        <w:ind w:left="6480" w:hanging="180"/>
      </w:pPr>
    </w:lvl>
  </w:abstractNum>
  <w:abstractNum w:abstractNumId="24">
    <w:nsid w:val="4599481D"/>
    <w:multiLevelType w:val="multilevel"/>
    <w:tmpl w:val="C208469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25">
    <w:nsid w:val="460451E0"/>
    <w:multiLevelType w:val="multilevel"/>
    <w:tmpl w:val="C208469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26">
    <w:nsid w:val="4AF56659"/>
    <w:multiLevelType w:val="multilevel"/>
    <w:tmpl w:val="EE46BD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lowerLetter"/>
      <w:lvlRestart w:val="0"/>
      <w:lvlText w:val="Figure 2.2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27">
    <w:nsid w:val="50895FE3"/>
    <w:multiLevelType w:val="multilevel"/>
    <w:tmpl w:val="04661290"/>
    <w:lvl w:ilvl="0">
      <w:start w:val="1"/>
      <w:numFmt w:val="decimal"/>
      <w:pStyle w:val="AERheading1"/>
      <w:lvlText w:val="%1"/>
      <w:lvlJc w:val="left"/>
      <w:pPr>
        <w:tabs>
          <w:tab w:val="num" w:pos="851"/>
        </w:tabs>
        <w:ind w:left="851" w:hanging="851"/>
      </w:pPr>
      <w:rPr>
        <w:rFonts w:hint="default"/>
      </w:rPr>
    </w:lvl>
    <w:lvl w:ilvl="1">
      <w:start w:val="1"/>
      <w:numFmt w:val="decimal"/>
      <w:pStyle w:val="AERheading2"/>
      <w:lvlText w:val="%1.%2"/>
      <w:lvlJc w:val="left"/>
      <w:pPr>
        <w:tabs>
          <w:tab w:val="num" w:pos="851"/>
        </w:tabs>
        <w:ind w:left="851" w:hanging="851"/>
      </w:pPr>
      <w:rPr>
        <w:rFonts w:hint="default"/>
      </w:rPr>
    </w:lvl>
    <w:lvl w:ilvl="2">
      <w:start w:val="1"/>
      <w:numFmt w:val="decimal"/>
      <w:pStyle w:val="AERheading3"/>
      <w:lvlText w:val="%1.%2.%3"/>
      <w:lvlJc w:val="left"/>
      <w:pPr>
        <w:tabs>
          <w:tab w:val="num" w:pos="851"/>
        </w:tabs>
        <w:ind w:left="851" w:hanging="851"/>
      </w:pPr>
      <w:rPr>
        <w:rFonts w:hint="default"/>
      </w:rPr>
    </w:lvl>
    <w:lvl w:ilvl="3">
      <w:start w:val="1"/>
      <w:numFmt w:val="decimal"/>
      <w:pStyle w:val="AERheading4"/>
      <w:lvlText w:val="%1.%2.%3.%4"/>
      <w:lvlJc w:val="left"/>
      <w:pPr>
        <w:tabs>
          <w:tab w:val="num" w:pos="851"/>
        </w:tabs>
        <w:ind w:left="851" w:hanging="851"/>
      </w:pPr>
      <w:rPr>
        <w:rFonts w:hint="default"/>
      </w:rPr>
    </w:lvl>
    <w:lvl w:ilvl="4">
      <w:start w:val="1"/>
      <w:numFmt w:val="decimal"/>
      <w:lvlRestart w:val="1"/>
      <w:pStyle w:val="AERtableheading"/>
      <w:lvlText w:val="Table %1.%5"/>
      <w:lvlJc w:val="left"/>
      <w:pPr>
        <w:tabs>
          <w:tab w:val="num" w:pos="1361"/>
        </w:tabs>
        <w:ind w:left="1361" w:hanging="1361"/>
      </w:pPr>
      <w:rPr>
        <w:rFonts w:hint="default"/>
      </w:rPr>
    </w:lvl>
    <w:lvl w:ilvl="5">
      <w:start w:val="1"/>
      <w:numFmt w:val="decimal"/>
      <w:lvlRestart w:val="1"/>
      <w:pStyle w:val="AERfigureheading"/>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color w:val="auto"/>
        <w:sz w:val="20"/>
        <w:vertAlign w:val="baseline"/>
      </w:rPr>
    </w:lvl>
    <w:lvl w:ilvl="6">
      <w:start w:val="1"/>
      <w:numFmt w:val="lowerLetter"/>
      <w:lvlRestart w:val="0"/>
      <w:pStyle w:val="AERtableheading-unnumbered"/>
      <w:lvlText w:val="Figure 2.2 (%7)"/>
      <w:lvlJc w:val="left"/>
      <w:pPr>
        <w:tabs>
          <w:tab w:val="num" w:pos="1361"/>
        </w:tabs>
        <w:ind w:left="1361" w:hanging="1361"/>
      </w:pPr>
      <w:rPr>
        <w:rFonts w:hint="default"/>
      </w:rPr>
    </w:lvl>
    <w:lvl w:ilvl="7">
      <w:start w:val="1"/>
      <w:numFmt w:val="decimal"/>
      <w:lvlRestart w:val="0"/>
      <w:pStyle w:val="AERfigureheading-unnumbered"/>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28">
    <w:nsid w:val="541744BD"/>
    <w:multiLevelType w:val="multilevel"/>
    <w:tmpl w:val="12686C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lowerLetter"/>
      <w:lvlRestart w:val="0"/>
      <w:lvlText w:val="Figure 2.1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29">
    <w:nsid w:val="5AE679F7"/>
    <w:multiLevelType w:val="hybridMultilevel"/>
    <w:tmpl w:val="7EB8E4DC"/>
    <w:lvl w:ilvl="0" w:tplc="83B2D3EC">
      <w:start w:val="1"/>
      <w:numFmt w:val="bullet"/>
      <w:pStyle w:val="AERBullet1"/>
      <w:lvlText w:val=""/>
      <w:lvlJc w:val="left"/>
      <w:pPr>
        <w:tabs>
          <w:tab w:val="num" w:pos="360"/>
        </w:tabs>
        <w:ind w:left="360" w:hanging="360"/>
      </w:pPr>
      <w:rPr>
        <w:rFonts w:ascii="Wingdings" w:hAnsi="Wingdings" w:hint="default"/>
        <w:sz w:val="28"/>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nsid w:val="5C963B92"/>
    <w:multiLevelType w:val="multilevel"/>
    <w:tmpl w:val="E8127BB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lowerLetter"/>
      <w:lvlRestart w:val="0"/>
      <w:lvlText w:val="Figure 2.1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31">
    <w:nsid w:val="62BF0570"/>
    <w:multiLevelType w:val="hybridMultilevel"/>
    <w:tmpl w:val="2C38EE7E"/>
    <w:lvl w:ilvl="0" w:tplc="09AC5D42">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32">
    <w:nsid w:val="66F922C5"/>
    <w:multiLevelType w:val="multilevel"/>
    <w:tmpl w:val="5240EA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33">
    <w:nsid w:val="67C83EA9"/>
    <w:multiLevelType w:val="multilevel"/>
    <w:tmpl w:val="5240EA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decimal"/>
      <w:lvlRestart w:val="0"/>
      <w:lvlText w:val="Table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34">
    <w:nsid w:val="6C95647F"/>
    <w:multiLevelType w:val="multilevel"/>
    <w:tmpl w:val="E8127BB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Restart w:val="1"/>
      <w:lvlText w:val="Table %1.%5"/>
      <w:lvlJc w:val="left"/>
      <w:pPr>
        <w:tabs>
          <w:tab w:val="num" w:pos="1361"/>
        </w:tabs>
        <w:ind w:left="1361" w:hanging="1361"/>
      </w:pPr>
      <w:rPr>
        <w:rFonts w:hint="default"/>
      </w:rPr>
    </w:lvl>
    <w:lvl w:ilvl="5">
      <w:start w:val="1"/>
      <w:numFmt w:val="decimal"/>
      <w:lvlRestart w:val="1"/>
      <w:lvlText w:val="Figure %1.%6:"/>
      <w:lvlJc w:val="left"/>
      <w:pPr>
        <w:tabs>
          <w:tab w:val="num" w:pos="1361"/>
        </w:tabs>
        <w:ind w:left="1134" w:hanging="1134"/>
      </w:pPr>
      <w:rPr>
        <w:rFonts w:ascii="Arial" w:hAnsi="Arial" w:cs="Arial" w:hint="default"/>
        <w:b/>
        <w:i w:val="0"/>
        <w:caps w:val="0"/>
        <w:strike w:val="0"/>
        <w:dstrike w:val="0"/>
        <w:shadow w:val="0"/>
        <w:emboss w:val="0"/>
        <w:imprint w:val="0"/>
        <w:vanish w:val="0"/>
        <w:sz w:val="20"/>
        <w:vertAlign w:val="baseline"/>
      </w:rPr>
    </w:lvl>
    <w:lvl w:ilvl="6">
      <w:start w:val="1"/>
      <w:numFmt w:val="lowerLetter"/>
      <w:lvlRestart w:val="0"/>
      <w:lvlText w:val="Figure 2.1 (%7)"/>
      <w:lvlJc w:val="left"/>
      <w:pPr>
        <w:tabs>
          <w:tab w:val="num" w:pos="1361"/>
        </w:tabs>
        <w:ind w:left="1361" w:hanging="1361"/>
      </w:pPr>
      <w:rPr>
        <w:rFonts w:hint="default"/>
      </w:rPr>
    </w:lvl>
    <w:lvl w:ilvl="7">
      <w:start w:val="1"/>
      <w:numFmt w:val="decimal"/>
      <w:lvlRestart w:val="0"/>
      <w:lvlText w:val="Figure %8:"/>
      <w:lvlJc w:val="left"/>
      <w:pPr>
        <w:tabs>
          <w:tab w:val="num" w:pos="1134"/>
        </w:tabs>
        <w:ind w:left="1361" w:hanging="1361"/>
      </w:pPr>
      <w:rPr>
        <w:rFonts w:ascii="Arial Bold" w:hAnsi="Arial Bold" w:hint="default"/>
        <w:b/>
        <w:i w:val="0"/>
        <w:caps w:val="0"/>
        <w:strike w:val="0"/>
        <w:dstrike w:val="0"/>
        <w:outline w:val="0"/>
        <w:shadow w:val="0"/>
        <w:emboss w:val="0"/>
        <w:imprint w:val="0"/>
        <w:vanish w:val="0"/>
        <w:sz w:val="20"/>
        <w:vertAlign w:val="baseline"/>
      </w:rPr>
    </w:lvl>
    <w:lvl w:ilvl="8">
      <w:start w:val="1"/>
      <w:numFmt w:val="none"/>
      <w:lvlText w:val=""/>
      <w:lvlJc w:val="right"/>
      <w:pPr>
        <w:tabs>
          <w:tab w:val="num" w:pos="1584"/>
        </w:tabs>
        <w:ind w:left="1584" w:hanging="144"/>
      </w:pPr>
      <w:rPr>
        <w:rFonts w:hint="default"/>
      </w:rPr>
    </w:lvl>
  </w:abstractNum>
  <w:abstractNum w:abstractNumId="35">
    <w:nsid w:val="7AEF67FF"/>
    <w:multiLevelType w:val="multilevel"/>
    <w:tmpl w:val="7AAEDB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7"/>
  </w:num>
  <w:num w:numId="3">
    <w:abstractNumId w:val="22"/>
  </w:num>
  <w:num w:numId="4">
    <w:abstractNumId w:val="35"/>
  </w:num>
  <w:num w:numId="5">
    <w:abstractNumId w:val="13"/>
  </w:num>
  <w:num w:numId="6">
    <w:abstractNumId w:val="31"/>
  </w:num>
  <w:num w:numId="7">
    <w:abstractNumId w:val="23"/>
  </w:num>
  <w:num w:numId="8">
    <w:abstractNumId w:val="16"/>
  </w:num>
  <w:num w:numId="9">
    <w:abstractNumId w:val="15"/>
  </w:num>
  <w:num w:numId="10">
    <w:abstractNumId w:val="18"/>
  </w:num>
  <w:num w:numId="11">
    <w:abstractNumId w:val="1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7"/>
  </w:num>
  <w:num w:numId="30">
    <w:abstractNumId w:val="27"/>
  </w:num>
  <w:num w:numId="31">
    <w:abstractNumId w:val="27"/>
  </w:num>
  <w:num w:numId="32">
    <w:abstractNumId w:val="27"/>
  </w:num>
  <w:num w:numId="33">
    <w:abstractNumId w:val="32"/>
  </w:num>
  <w:num w:numId="34">
    <w:abstractNumId w:val="33"/>
  </w:num>
  <w:num w:numId="35">
    <w:abstractNumId w:val="19"/>
  </w:num>
  <w:num w:numId="36">
    <w:abstractNumId w:val="25"/>
  </w:num>
  <w:num w:numId="37">
    <w:abstractNumId w:val="24"/>
  </w:num>
  <w:num w:numId="38">
    <w:abstractNumId w:val="10"/>
  </w:num>
  <w:num w:numId="39">
    <w:abstractNumId w:val="20"/>
  </w:num>
  <w:num w:numId="40">
    <w:abstractNumId w:val="14"/>
  </w:num>
  <w:num w:numId="41">
    <w:abstractNumId w:val="28"/>
  </w:num>
  <w:num w:numId="4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3">
    <w:abstractNumId w:val="30"/>
  </w:num>
  <w:num w:numId="44">
    <w:abstractNumId w:val="34"/>
  </w:num>
  <w:num w:numId="45">
    <w:abstractNumId w:val="26"/>
  </w:num>
  <w:num w:numId="46">
    <w:abstractNumId w:val="21"/>
  </w:num>
  <w:num w:numId="4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8">
    <w:abstractNumId w:val="12"/>
  </w:num>
  <w:num w:numId="4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removePersonalInformation/>
  <w:removeDateAndTime/>
  <w:stylePaneFormatFilter w:val="0004"/>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brvpwxfs01\home$\wvosp\20130113 - 20130119 - gas week (D2013-00009337).docx"/>
  </w:docVars>
  <w:rsids>
    <w:rsidRoot w:val="005F18AD"/>
    <w:rsid w:val="000013C1"/>
    <w:rsid w:val="00001BFB"/>
    <w:rsid w:val="00002313"/>
    <w:rsid w:val="00010025"/>
    <w:rsid w:val="000123CA"/>
    <w:rsid w:val="00020978"/>
    <w:rsid w:val="0002268D"/>
    <w:rsid w:val="00033456"/>
    <w:rsid w:val="00040F6B"/>
    <w:rsid w:val="00055584"/>
    <w:rsid w:val="00061656"/>
    <w:rsid w:val="0006609A"/>
    <w:rsid w:val="00073D01"/>
    <w:rsid w:val="00076046"/>
    <w:rsid w:val="000813BF"/>
    <w:rsid w:val="000876E7"/>
    <w:rsid w:val="000974A2"/>
    <w:rsid w:val="00097D40"/>
    <w:rsid w:val="000B4A1F"/>
    <w:rsid w:val="000B6397"/>
    <w:rsid w:val="000B69E0"/>
    <w:rsid w:val="000D1FEB"/>
    <w:rsid w:val="000E16B0"/>
    <w:rsid w:val="000F0BBB"/>
    <w:rsid w:val="000F3B46"/>
    <w:rsid w:val="000F59F8"/>
    <w:rsid w:val="000F5F5E"/>
    <w:rsid w:val="000F6D05"/>
    <w:rsid w:val="00117C98"/>
    <w:rsid w:val="00125818"/>
    <w:rsid w:val="001420EB"/>
    <w:rsid w:val="001452B3"/>
    <w:rsid w:val="00150A19"/>
    <w:rsid w:val="00152A2D"/>
    <w:rsid w:val="00153729"/>
    <w:rsid w:val="00157AFD"/>
    <w:rsid w:val="0016732C"/>
    <w:rsid w:val="00181F4A"/>
    <w:rsid w:val="00183D85"/>
    <w:rsid w:val="00193ECC"/>
    <w:rsid w:val="001A41B4"/>
    <w:rsid w:val="001A5893"/>
    <w:rsid w:val="001A5B94"/>
    <w:rsid w:val="001A5C1A"/>
    <w:rsid w:val="001A765F"/>
    <w:rsid w:val="001B294E"/>
    <w:rsid w:val="001B2ADA"/>
    <w:rsid w:val="001C006C"/>
    <w:rsid w:val="001C5A74"/>
    <w:rsid w:val="001D1E40"/>
    <w:rsid w:val="001E79FF"/>
    <w:rsid w:val="001F0F9B"/>
    <w:rsid w:val="00206559"/>
    <w:rsid w:val="002168D4"/>
    <w:rsid w:val="002312F5"/>
    <w:rsid w:val="00233988"/>
    <w:rsid w:val="00243F6D"/>
    <w:rsid w:val="00252A22"/>
    <w:rsid w:val="00254746"/>
    <w:rsid w:val="00266CA5"/>
    <w:rsid w:val="0026764C"/>
    <w:rsid w:val="00270B82"/>
    <w:rsid w:val="002765A2"/>
    <w:rsid w:val="00285E00"/>
    <w:rsid w:val="002861A9"/>
    <w:rsid w:val="00290C57"/>
    <w:rsid w:val="002910A1"/>
    <w:rsid w:val="002A0CD1"/>
    <w:rsid w:val="002A30E7"/>
    <w:rsid w:val="002A3E5D"/>
    <w:rsid w:val="002A46AC"/>
    <w:rsid w:val="002A5634"/>
    <w:rsid w:val="002B3D3C"/>
    <w:rsid w:val="002B4D21"/>
    <w:rsid w:val="002C2576"/>
    <w:rsid w:val="002D0C16"/>
    <w:rsid w:val="002D59B3"/>
    <w:rsid w:val="002D5CEC"/>
    <w:rsid w:val="002E0688"/>
    <w:rsid w:val="002E2C96"/>
    <w:rsid w:val="002E2E46"/>
    <w:rsid w:val="002F0AE7"/>
    <w:rsid w:val="002F4250"/>
    <w:rsid w:val="0030240F"/>
    <w:rsid w:val="00314A8B"/>
    <w:rsid w:val="00323327"/>
    <w:rsid w:val="003348F7"/>
    <w:rsid w:val="00336E8E"/>
    <w:rsid w:val="003410C4"/>
    <w:rsid w:val="00347FBB"/>
    <w:rsid w:val="003548AA"/>
    <w:rsid w:val="00357C72"/>
    <w:rsid w:val="003632A4"/>
    <w:rsid w:val="003664D0"/>
    <w:rsid w:val="00366BDF"/>
    <w:rsid w:val="00372976"/>
    <w:rsid w:val="00374CF9"/>
    <w:rsid w:val="003800B4"/>
    <w:rsid w:val="003945D6"/>
    <w:rsid w:val="003A12A5"/>
    <w:rsid w:val="003B0AAD"/>
    <w:rsid w:val="003B65E0"/>
    <w:rsid w:val="003C5272"/>
    <w:rsid w:val="003C5482"/>
    <w:rsid w:val="003E313D"/>
    <w:rsid w:val="003F44AD"/>
    <w:rsid w:val="003F51E6"/>
    <w:rsid w:val="003F7FD2"/>
    <w:rsid w:val="0040076C"/>
    <w:rsid w:val="004055AC"/>
    <w:rsid w:val="00411C3F"/>
    <w:rsid w:val="00421FFF"/>
    <w:rsid w:val="00433231"/>
    <w:rsid w:val="00434FC1"/>
    <w:rsid w:val="00445D38"/>
    <w:rsid w:val="00447C09"/>
    <w:rsid w:val="0045204B"/>
    <w:rsid w:val="00452149"/>
    <w:rsid w:val="00452AAD"/>
    <w:rsid w:val="00460629"/>
    <w:rsid w:val="00463EFA"/>
    <w:rsid w:val="004777B8"/>
    <w:rsid w:val="00483EDA"/>
    <w:rsid w:val="00492501"/>
    <w:rsid w:val="004937ED"/>
    <w:rsid w:val="00496CEF"/>
    <w:rsid w:val="004A09D6"/>
    <w:rsid w:val="004A10A7"/>
    <w:rsid w:val="004B068E"/>
    <w:rsid w:val="004B18D8"/>
    <w:rsid w:val="004B2256"/>
    <w:rsid w:val="004B2A1A"/>
    <w:rsid w:val="004D09C9"/>
    <w:rsid w:val="004D1EBF"/>
    <w:rsid w:val="004D3B99"/>
    <w:rsid w:val="004D3E78"/>
    <w:rsid w:val="004F3D13"/>
    <w:rsid w:val="005157B0"/>
    <w:rsid w:val="00522E00"/>
    <w:rsid w:val="00547827"/>
    <w:rsid w:val="00563C94"/>
    <w:rsid w:val="0056618C"/>
    <w:rsid w:val="00582F1C"/>
    <w:rsid w:val="005859CC"/>
    <w:rsid w:val="00585B36"/>
    <w:rsid w:val="00587CD1"/>
    <w:rsid w:val="00596031"/>
    <w:rsid w:val="005A1650"/>
    <w:rsid w:val="005A4569"/>
    <w:rsid w:val="005A77AC"/>
    <w:rsid w:val="005C4B8B"/>
    <w:rsid w:val="005C68CE"/>
    <w:rsid w:val="005D1037"/>
    <w:rsid w:val="005D4097"/>
    <w:rsid w:val="005D6652"/>
    <w:rsid w:val="005E4C48"/>
    <w:rsid w:val="005F18AD"/>
    <w:rsid w:val="005F31D0"/>
    <w:rsid w:val="00601A25"/>
    <w:rsid w:val="00601C18"/>
    <w:rsid w:val="00601E71"/>
    <w:rsid w:val="0060661E"/>
    <w:rsid w:val="00612663"/>
    <w:rsid w:val="00645036"/>
    <w:rsid w:val="00647DD2"/>
    <w:rsid w:val="006520EE"/>
    <w:rsid w:val="00652A42"/>
    <w:rsid w:val="006705A4"/>
    <w:rsid w:val="00686F6E"/>
    <w:rsid w:val="00697E41"/>
    <w:rsid w:val="006A5317"/>
    <w:rsid w:val="006B004C"/>
    <w:rsid w:val="006B5D97"/>
    <w:rsid w:val="006C1858"/>
    <w:rsid w:val="006C242A"/>
    <w:rsid w:val="006C2B2B"/>
    <w:rsid w:val="006C57B2"/>
    <w:rsid w:val="006C5A2C"/>
    <w:rsid w:val="006C6D60"/>
    <w:rsid w:val="006D1DBE"/>
    <w:rsid w:val="006D6E0B"/>
    <w:rsid w:val="006E1063"/>
    <w:rsid w:val="006E312B"/>
    <w:rsid w:val="006E40BD"/>
    <w:rsid w:val="006F4169"/>
    <w:rsid w:val="007001FF"/>
    <w:rsid w:val="00706720"/>
    <w:rsid w:val="0071106C"/>
    <w:rsid w:val="00715BED"/>
    <w:rsid w:val="007209C0"/>
    <w:rsid w:val="0072650E"/>
    <w:rsid w:val="007306EC"/>
    <w:rsid w:val="00740EE4"/>
    <w:rsid w:val="00750C0F"/>
    <w:rsid w:val="00763150"/>
    <w:rsid w:val="0076429B"/>
    <w:rsid w:val="00767397"/>
    <w:rsid w:val="00773AE0"/>
    <w:rsid w:val="00776BBA"/>
    <w:rsid w:val="00781A4A"/>
    <w:rsid w:val="00791198"/>
    <w:rsid w:val="007941C2"/>
    <w:rsid w:val="00795966"/>
    <w:rsid w:val="007966A5"/>
    <w:rsid w:val="007A12DE"/>
    <w:rsid w:val="007A24B5"/>
    <w:rsid w:val="007A7E7A"/>
    <w:rsid w:val="007B7771"/>
    <w:rsid w:val="007D4B14"/>
    <w:rsid w:val="007D4F53"/>
    <w:rsid w:val="007E52F7"/>
    <w:rsid w:val="007E5F68"/>
    <w:rsid w:val="0080456D"/>
    <w:rsid w:val="00811D1C"/>
    <w:rsid w:val="008133CF"/>
    <w:rsid w:val="008170C0"/>
    <w:rsid w:val="008344A6"/>
    <w:rsid w:val="00875D0C"/>
    <w:rsid w:val="008776EF"/>
    <w:rsid w:val="00882958"/>
    <w:rsid w:val="008936C5"/>
    <w:rsid w:val="00895965"/>
    <w:rsid w:val="008A6DB5"/>
    <w:rsid w:val="008B7161"/>
    <w:rsid w:val="008C0EC8"/>
    <w:rsid w:val="008C7F3A"/>
    <w:rsid w:val="008D4DAB"/>
    <w:rsid w:val="008D70A4"/>
    <w:rsid w:val="008E2239"/>
    <w:rsid w:val="008E24DA"/>
    <w:rsid w:val="008F4BF5"/>
    <w:rsid w:val="008F4EAE"/>
    <w:rsid w:val="008F5409"/>
    <w:rsid w:val="00900CEB"/>
    <w:rsid w:val="009136B3"/>
    <w:rsid w:val="009143E0"/>
    <w:rsid w:val="00937543"/>
    <w:rsid w:val="00942622"/>
    <w:rsid w:val="00951926"/>
    <w:rsid w:val="00956CE9"/>
    <w:rsid w:val="009578D3"/>
    <w:rsid w:val="009629B5"/>
    <w:rsid w:val="00976584"/>
    <w:rsid w:val="00987973"/>
    <w:rsid w:val="009A04DD"/>
    <w:rsid w:val="009B2F99"/>
    <w:rsid w:val="009B4053"/>
    <w:rsid w:val="009B6259"/>
    <w:rsid w:val="009B77E9"/>
    <w:rsid w:val="009B7937"/>
    <w:rsid w:val="009C30E2"/>
    <w:rsid w:val="009C4CBD"/>
    <w:rsid w:val="009C7F8C"/>
    <w:rsid w:val="009D2B17"/>
    <w:rsid w:val="009D7763"/>
    <w:rsid w:val="009D7D0F"/>
    <w:rsid w:val="009E18FE"/>
    <w:rsid w:val="009F397F"/>
    <w:rsid w:val="009F43B1"/>
    <w:rsid w:val="009F4655"/>
    <w:rsid w:val="009F4DF7"/>
    <w:rsid w:val="00A0223D"/>
    <w:rsid w:val="00A13F97"/>
    <w:rsid w:val="00A156EE"/>
    <w:rsid w:val="00A200D0"/>
    <w:rsid w:val="00A26940"/>
    <w:rsid w:val="00A324A8"/>
    <w:rsid w:val="00A349B0"/>
    <w:rsid w:val="00A475A2"/>
    <w:rsid w:val="00A51DDD"/>
    <w:rsid w:val="00A55C96"/>
    <w:rsid w:val="00A642B8"/>
    <w:rsid w:val="00A66FD2"/>
    <w:rsid w:val="00A677D8"/>
    <w:rsid w:val="00A834DF"/>
    <w:rsid w:val="00A936AE"/>
    <w:rsid w:val="00AA1D87"/>
    <w:rsid w:val="00AD3EBD"/>
    <w:rsid w:val="00AE4633"/>
    <w:rsid w:val="00AE748C"/>
    <w:rsid w:val="00AF2281"/>
    <w:rsid w:val="00B00058"/>
    <w:rsid w:val="00B16118"/>
    <w:rsid w:val="00B1722C"/>
    <w:rsid w:val="00B17A8A"/>
    <w:rsid w:val="00B24A61"/>
    <w:rsid w:val="00B254F8"/>
    <w:rsid w:val="00B30EB3"/>
    <w:rsid w:val="00B3322A"/>
    <w:rsid w:val="00B33F8C"/>
    <w:rsid w:val="00B40122"/>
    <w:rsid w:val="00B4302A"/>
    <w:rsid w:val="00B507D2"/>
    <w:rsid w:val="00B529D0"/>
    <w:rsid w:val="00B60F88"/>
    <w:rsid w:val="00B61751"/>
    <w:rsid w:val="00B66BAB"/>
    <w:rsid w:val="00B70A9F"/>
    <w:rsid w:val="00B71A5E"/>
    <w:rsid w:val="00B76529"/>
    <w:rsid w:val="00B82478"/>
    <w:rsid w:val="00BA16E2"/>
    <w:rsid w:val="00BA31C3"/>
    <w:rsid w:val="00BA65E6"/>
    <w:rsid w:val="00BA6C2E"/>
    <w:rsid w:val="00BB2FF6"/>
    <w:rsid w:val="00BC21AB"/>
    <w:rsid w:val="00BC254C"/>
    <w:rsid w:val="00BC4C5B"/>
    <w:rsid w:val="00BC77F9"/>
    <w:rsid w:val="00BD3A40"/>
    <w:rsid w:val="00BD60AA"/>
    <w:rsid w:val="00BE18D0"/>
    <w:rsid w:val="00BE4577"/>
    <w:rsid w:val="00BF1D01"/>
    <w:rsid w:val="00BF3080"/>
    <w:rsid w:val="00C21D81"/>
    <w:rsid w:val="00C26B1D"/>
    <w:rsid w:val="00C26E38"/>
    <w:rsid w:val="00C560C2"/>
    <w:rsid w:val="00C60857"/>
    <w:rsid w:val="00C75920"/>
    <w:rsid w:val="00C83657"/>
    <w:rsid w:val="00C859CC"/>
    <w:rsid w:val="00C94431"/>
    <w:rsid w:val="00C9498F"/>
    <w:rsid w:val="00CA0EE1"/>
    <w:rsid w:val="00CB0C0E"/>
    <w:rsid w:val="00CB0EC0"/>
    <w:rsid w:val="00CC300D"/>
    <w:rsid w:val="00CC385B"/>
    <w:rsid w:val="00CC40EE"/>
    <w:rsid w:val="00CC4A35"/>
    <w:rsid w:val="00CD3544"/>
    <w:rsid w:val="00CE48FC"/>
    <w:rsid w:val="00CE5DB6"/>
    <w:rsid w:val="00CE75EF"/>
    <w:rsid w:val="00CF32A8"/>
    <w:rsid w:val="00CF53CA"/>
    <w:rsid w:val="00CF5471"/>
    <w:rsid w:val="00D10FA6"/>
    <w:rsid w:val="00D161D7"/>
    <w:rsid w:val="00D16FE8"/>
    <w:rsid w:val="00D22793"/>
    <w:rsid w:val="00D302AC"/>
    <w:rsid w:val="00D329E0"/>
    <w:rsid w:val="00D40430"/>
    <w:rsid w:val="00D41D64"/>
    <w:rsid w:val="00D67440"/>
    <w:rsid w:val="00D71951"/>
    <w:rsid w:val="00D76436"/>
    <w:rsid w:val="00D84A8C"/>
    <w:rsid w:val="00DA37EC"/>
    <w:rsid w:val="00DA38A8"/>
    <w:rsid w:val="00DA3AAA"/>
    <w:rsid w:val="00DB0182"/>
    <w:rsid w:val="00DB12E4"/>
    <w:rsid w:val="00DB3B79"/>
    <w:rsid w:val="00DC0A52"/>
    <w:rsid w:val="00DC154F"/>
    <w:rsid w:val="00DC158D"/>
    <w:rsid w:val="00DC242D"/>
    <w:rsid w:val="00DD5ACD"/>
    <w:rsid w:val="00DE746A"/>
    <w:rsid w:val="00E01475"/>
    <w:rsid w:val="00E16C03"/>
    <w:rsid w:val="00E2256B"/>
    <w:rsid w:val="00E25033"/>
    <w:rsid w:val="00E40361"/>
    <w:rsid w:val="00E41452"/>
    <w:rsid w:val="00E74D68"/>
    <w:rsid w:val="00E7639D"/>
    <w:rsid w:val="00E77449"/>
    <w:rsid w:val="00E86AAA"/>
    <w:rsid w:val="00E92E1D"/>
    <w:rsid w:val="00E93C7C"/>
    <w:rsid w:val="00E94C7D"/>
    <w:rsid w:val="00EA2F65"/>
    <w:rsid w:val="00EA4813"/>
    <w:rsid w:val="00EA6E29"/>
    <w:rsid w:val="00ED18CE"/>
    <w:rsid w:val="00ED5E08"/>
    <w:rsid w:val="00EE2B5F"/>
    <w:rsid w:val="00EE51D2"/>
    <w:rsid w:val="00EE6F2C"/>
    <w:rsid w:val="00EF4E45"/>
    <w:rsid w:val="00EF6B0C"/>
    <w:rsid w:val="00F01843"/>
    <w:rsid w:val="00F02D8D"/>
    <w:rsid w:val="00F16C55"/>
    <w:rsid w:val="00F4093F"/>
    <w:rsid w:val="00F415E2"/>
    <w:rsid w:val="00F427B4"/>
    <w:rsid w:val="00F45735"/>
    <w:rsid w:val="00F50297"/>
    <w:rsid w:val="00F51FA1"/>
    <w:rsid w:val="00F5594F"/>
    <w:rsid w:val="00F55D61"/>
    <w:rsid w:val="00F60367"/>
    <w:rsid w:val="00F63042"/>
    <w:rsid w:val="00F67559"/>
    <w:rsid w:val="00F71200"/>
    <w:rsid w:val="00F73DCA"/>
    <w:rsid w:val="00F77722"/>
    <w:rsid w:val="00F803DE"/>
    <w:rsid w:val="00F96C04"/>
    <w:rsid w:val="00FA56EA"/>
    <w:rsid w:val="00FB594A"/>
    <w:rsid w:val="00FB7DD0"/>
    <w:rsid w:val="00FC56A5"/>
    <w:rsid w:val="00FD08B1"/>
    <w:rsid w:val="00FD2DC7"/>
    <w:rsid w:val="00FD7009"/>
    <w:rsid w:val="00FD7231"/>
    <w:rsid w:val="00FF2760"/>
    <w:rsid w:val="00FF328C"/>
    <w:rsid w:val="00FF442C"/>
    <w:rsid w:val="00FF6C4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51">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8AD"/>
    <w:rPr>
      <w:sz w:val="24"/>
      <w:szCs w:val="24"/>
    </w:rPr>
  </w:style>
  <w:style w:type="paragraph" w:styleId="Heading1">
    <w:name w:val="heading 1"/>
    <w:basedOn w:val="Normal"/>
    <w:next w:val="Normal"/>
    <w:link w:val="Heading1Char"/>
    <w:qFormat/>
    <w:rsid w:val="005F18A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F18A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18A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F18AD"/>
    <w:pPr>
      <w:keepNext/>
      <w:spacing w:before="240" w:after="60"/>
      <w:outlineLvl w:val="3"/>
    </w:pPr>
    <w:rPr>
      <w:b/>
      <w:bCs/>
      <w:sz w:val="28"/>
      <w:szCs w:val="28"/>
    </w:rPr>
  </w:style>
  <w:style w:type="paragraph" w:styleId="Heading5">
    <w:name w:val="heading 5"/>
    <w:basedOn w:val="Normal"/>
    <w:next w:val="Normal"/>
    <w:link w:val="Heading5Char"/>
    <w:qFormat/>
    <w:rsid w:val="005F18AD"/>
    <w:pPr>
      <w:spacing w:before="240" w:after="60"/>
      <w:outlineLvl w:val="4"/>
    </w:pPr>
    <w:rPr>
      <w:b/>
      <w:bCs/>
      <w:i/>
      <w:iCs/>
      <w:sz w:val="26"/>
      <w:szCs w:val="26"/>
    </w:rPr>
  </w:style>
  <w:style w:type="paragraph" w:styleId="Heading6">
    <w:name w:val="heading 6"/>
    <w:basedOn w:val="Normal"/>
    <w:next w:val="Normal"/>
    <w:link w:val="Heading6Char"/>
    <w:qFormat/>
    <w:rsid w:val="005F18AD"/>
    <w:pPr>
      <w:spacing w:before="240" w:after="60"/>
      <w:outlineLvl w:val="5"/>
    </w:pPr>
    <w:rPr>
      <w:b/>
      <w:bCs/>
      <w:sz w:val="22"/>
      <w:szCs w:val="22"/>
    </w:rPr>
  </w:style>
  <w:style w:type="paragraph" w:styleId="Heading8">
    <w:name w:val="heading 8"/>
    <w:basedOn w:val="Normal"/>
    <w:next w:val="Normal"/>
    <w:link w:val="Heading8Char"/>
    <w:qFormat/>
    <w:rsid w:val="005F18AD"/>
    <w:pPr>
      <w:spacing w:before="240" w:after="60"/>
      <w:outlineLvl w:val="7"/>
    </w:pPr>
    <w:rPr>
      <w:rFonts w:eastAsia="Batang"/>
      <w:i/>
      <w:iCs/>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F18AD"/>
    <w:rPr>
      <w:rFonts w:ascii="Arial" w:hAnsi="Arial" w:cs="Arial"/>
      <w:b/>
      <w:bCs/>
      <w:kern w:val="32"/>
      <w:sz w:val="32"/>
      <w:szCs w:val="32"/>
      <w:lang w:val="en-AU" w:eastAsia="en-AU" w:bidi="ar-SA"/>
    </w:rPr>
  </w:style>
  <w:style w:type="character" w:customStyle="1" w:styleId="Heading2Char">
    <w:name w:val="Heading 2 Char"/>
    <w:basedOn w:val="DefaultParagraphFont"/>
    <w:link w:val="Heading2"/>
    <w:locked/>
    <w:rsid w:val="005F18AD"/>
    <w:rPr>
      <w:rFonts w:ascii="Arial" w:hAnsi="Arial" w:cs="Arial"/>
      <w:b/>
      <w:bCs/>
      <w:i/>
      <w:iCs/>
      <w:sz w:val="28"/>
      <w:szCs w:val="28"/>
      <w:lang w:val="en-AU" w:eastAsia="en-AU" w:bidi="ar-SA"/>
    </w:rPr>
  </w:style>
  <w:style w:type="character" w:customStyle="1" w:styleId="Heading3Char">
    <w:name w:val="Heading 3 Char"/>
    <w:basedOn w:val="DefaultParagraphFont"/>
    <w:link w:val="Heading3"/>
    <w:semiHidden/>
    <w:locked/>
    <w:rsid w:val="005F18AD"/>
    <w:rPr>
      <w:rFonts w:ascii="Arial" w:hAnsi="Arial" w:cs="Arial"/>
      <w:b/>
      <w:bCs/>
      <w:sz w:val="26"/>
      <w:szCs w:val="26"/>
      <w:lang w:val="en-AU" w:eastAsia="en-AU" w:bidi="ar-SA"/>
    </w:rPr>
  </w:style>
  <w:style w:type="character" w:customStyle="1" w:styleId="Heading4Char">
    <w:name w:val="Heading 4 Char"/>
    <w:basedOn w:val="DefaultParagraphFont"/>
    <w:link w:val="Heading4"/>
    <w:semiHidden/>
    <w:locked/>
    <w:rsid w:val="005F18AD"/>
    <w:rPr>
      <w:b/>
      <w:bCs/>
      <w:sz w:val="28"/>
      <w:szCs w:val="28"/>
      <w:lang w:val="en-AU" w:eastAsia="en-AU" w:bidi="ar-SA"/>
    </w:rPr>
  </w:style>
  <w:style w:type="character" w:customStyle="1" w:styleId="Heading5Char">
    <w:name w:val="Heading 5 Char"/>
    <w:basedOn w:val="DefaultParagraphFont"/>
    <w:link w:val="Heading5"/>
    <w:semiHidden/>
    <w:locked/>
    <w:rsid w:val="005F18AD"/>
    <w:rPr>
      <w:b/>
      <w:bCs/>
      <w:i/>
      <w:iCs/>
      <w:sz w:val="26"/>
      <w:szCs w:val="26"/>
      <w:lang w:val="en-AU" w:eastAsia="en-AU" w:bidi="ar-SA"/>
    </w:rPr>
  </w:style>
  <w:style w:type="character" w:customStyle="1" w:styleId="Heading6Char">
    <w:name w:val="Heading 6 Char"/>
    <w:basedOn w:val="DefaultParagraphFont"/>
    <w:link w:val="Heading6"/>
    <w:semiHidden/>
    <w:locked/>
    <w:rsid w:val="005F18AD"/>
    <w:rPr>
      <w:b/>
      <w:bCs/>
      <w:sz w:val="22"/>
      <w:szCs w:val="22"/>
      <w:lang w:val="en-AU" w:eastAsia="en-AU" w:bidi="ar-SA"/>
    </w:rPr>
  </w:style>
  <w:style w:type="character" w:customStyle="1" w:styleId="Heading8Char">
    <w:name w:val="Heading 8 Char"/>
    <w:basedOn w:val="DefaultParagraphFont"/>
    <w:link w:val="Heading8"/>
    <w:semiHidden/>
    <w:locked/>
    <w:rsid w:val="005F18AD"/>
    <w:rPr>
      <w:rFonts w:eastAsia="Batang"/>
      <w:i/>
      <w:iCs/>
      <w:sz w:val="24"/>
      <w:szCs w:val="24"/>
      <w:lang w:val="en-AU" w:eastAsia="ko-KR" w:bidi="ar-SA"/>
    </w:rPr>
  </w:style>
  <w:style w:type="paragraph" w:styleId="Header">
    <w:name w:val="header"/>
    <w:basedOn w:val="Normal"/>
    <w:link w:val="HeaderChar"/>
    <w:rsid w:val="005F18AD"/>
    <w:pPr>
      <w:tabs>
        <w:tab w:val="center" w:pos="4153"/>
        <w:tab w:val="right" w:pos="8306"/>
      </w:tabs>
    </w:pPr>
    <w:rPr>
      <w:lang w:eastAsia="en-US"/>
    </w:rPr>
  </w:style>
  <w:style w:type="character" w:customStyle="1" w:styleId="HeaderChar">
    <w:name w:val="Header Char"/>
    <w:basedOn w:val="DefaultParagraphFont"/>
    <w:link w:val="Header"/>
    <w:semiHidden/>
    <w:locked/>
    <w:rsid w:val="005F18AD"/>
    <w:rPr>
      <w:sz w:val="24"/>
      <w:szCs w:val="24"/>
      <w:lang w:val="en-AU" w:eastAsia="en-US" w:bidi="ar-SA"/>
    </w:rPr>
  </w:style>
  <w:style w:type="paragraph" w:styleId="Footer">
    <w:name w:val="footer"/>
    <w:basedOn w:val="Normal"/>
    <w:link w:val="FooterChar"/>
    <w:rsid w:val="005F18AD"/>
    <w:pPr>
      <w:pBdr>
        <w:top w:val="single" w:sz="4" w:space="4" w:color="auto"/>
      </w:pBdr>
      <w:tabs>
        <w:tab w:val="right" w:pos="8306"/>
      </w:tabs>
    </w:pPr>
    <w:rPr>
      <w:rFonts w:ascii="Arial" w:hAnsi="Arial"/>
      <w:smallCaps/>
      <w:sz w:val="20"/>
      <w:lang w:eastAsia="en-US"/>
    </w:rPr>
  </w:style>
  <w:style w:type="character" w:customStyle="1" w:styleId="FooterChar">
    <w:name w:val="Footer Char"/>
    <w:basedOn w:val="DefaultParagraphFont"/>
    <w:link w:val="Footer"/>
    <w:locked/>
    <w:rsid w:val="005F18AD"/>
    <w:rPr>
      <w:rFonts w:ascii="Arial" w:hAnsi="Arial"/>
      <w:smallCaps/>
      <w:szCs w:val="24"/>
      <w:lang w:val="en-AU" w:eastAsia="en-US" w:bidi="ar-SA"/>
    </w:rPr>
  </w:style>
  <w:style w:type="paragraph" w:styleId="BodyText">
    <w:name w:val="Body Text"/>
    <w:basedOn w:val="Normal"/>
    <w:link w:val="BodyTextChar"/>
    <w:rsid w:val="005F18AD"/>
    <w:pPr>
      <w:spacing w:after="240"/>
    </w:pPr>
  </w:style>
  <w:style w:type="character" w:customStyle="1" w:styleId="BodyTextChar">
    <w:name w:val="Body Text Char"/>
    <w:basedOn w:val="DefaultParagraphFont"/>
    <w:link w:val="BodyText"/>
    <w:locked/>
    <w:rsid w:val="005F18AD"/>
    <w:rPr>
      <w:sz w:val="24"/>
      <w:szCs w:val="24"/>
      <w:lang w:val="en-AU" w:eastAsia="en-AU" w:bidi="ar-SA"/>
    </w:rPr>
  </w:style>
  <w:style w:type="paragraph" w:styleId="CommentText">
    <w:name w:val="annotation text"/>
    <w:basedOn w:val="Normal"/>
    <w:link w:val="CommentTextChar"/>
    <w:semiHidden/>
    <w:rsid w:val="005F18AD"/>
    <w:rPr>
      <w:sz w:val="20"/>
    </w:rPr>
  </w:style>
  <w:style w:type="character" w:customStyle="1" w:styleId="CommentTextChar">
    <w:name w:val="Comment Text Char"/>
    <w:basedOn w:val="DefaultParagraphFont"/>
    <w:link w:val="CommentText"/>
    <w:semiHidden/>
    <w:locked/>
    <w:rsid w:val="005F18AD"/>
    <w:rPr>
      <w:szCs w:val="24"/>
      <w:lang w:val="en-AU" w:eastAsia="en-AU" w:bidi="ar-SA"/>
    </w:rPr>
  </w:style>
  <w:style w:type="paragraph" w:styleId="CommentSubject">
    <w:name w:val="annotation subject"/>
    <w:basedOn w:val="CommentText"/>
    <w:next w:val="CommentText"/>
    <w:link w:val="CommentSubjectChar"/>
    <w:semiHidden/>
    <w:rsid w:val="005F18AD"/>
    <w:rPr>
      <w:b/>
      <w:bCs/>
    </w:rPr>
  </w:style>
  <w:style w:type="character" w:customStyle="1" w:styleId="CommentSubjectChar">
    <w:name w:val="Comment Subject Char"/>
    <w:basedOn w:val="CommentTextChar"/>
    <w:link w:val="CommentSubject"/>
    <w:semiHidden/>
    <w:locked/>
    <w:rsid w:val="005F18AD"/>
    <w:rPr>
      <w:b/>
      <w:bCs/>
    </w:rPr>
  </w:style>
  <w:style w:type="paragraph" w:styleId="BalloonText">
    <w:name w:val="Balloon Text"/>
    <w:basedOn w:val="Normal"/>
    <w:link w:val="BalloonTextChar"/>
    <w:semiHidden/>
    <w:rsid w:val="005F18AD"/>
    <w:rPr>
      <w:rFonts w:ascii="Tahoma" w:hAnsi="Tahoma" w:cs="Tahoma"/>
      <w:sz w:val="16"/>
      <w:szCs w:val="16"/>
    </w:rPr>
  </w:style>
  <w:style w:type="character" w:customStyle="1" w:styleId="BalloonTextChar">
    <w:name w:val="Balloon Text Char"/>
    <w:basedOn w:val="DefaultParagraphFont"/>
    <w:link w:val="BalloonText"/>
    <w:semiHidden/>
    <w:locked/>
    <w:rsid w:val="005F18AD"/>
    <w:rPr>
      <w:rFonts w:ascii="Tahoma" w:hAnsi="Tahoma" w:cs="Tahoma"/>
      <w:sz w:val="16"/>
      <w:szCs w:val="16"/>
      <w:lang w:val="en-AU" w:eastAsia="en-AU" w:bidi="ar-SA"/>
    </w:rPr>
  </w:style>
  <w:style w:type="paragraph" w:customStyle="1" w:styleId="FigHeading">
    <w:name w:val="Fig Heading"/>
    <w:basedOn w:val="Normal"/>
    <w:link w:val="FigHeadingCharChar"/>
    <w:rsid w:val="005F18AD"/>
    <w:pPr>
      <w:keepNext/>
      <w:numPr>
        <w:numId w:val="3"/>
      </w:numPr>
    </w:pPr>
    <w:rPr>
      <w:rFonts w:ascii="Arial" w:hAnsi="Arial" w:cs="Arial"/>
      <w:b/>
      <w:sz w:val="20"/>
    </w:rPr>
  </w:style>
  <w:style w:type="character" w:customStyle="1" w:styleId="FigHeadingCharChar">
    <w:name w:val="Fig Heading Char Char"/>
    <w:basedOn w:val="DefaultParagraphFont"/>
    <w:link w:val="FigHeading"/>
    <w:rsid w:val="005F18AD"/>
    <w:rPr>
      <w:rFonts w:ascii="Arial" w:hAnsi="Arial" w:cs="Arial"/>
      <w:b/>
      <w:szCs w:val="24"/>
      <w:lang w:val="en-AU" w:eastAsia="en-AU" w:bidi="ar-SA"/>
    </w:rPr>
  </w:style>
  <w:style w:type="paragraph" w:customStyle="1" w:styleId="AERbodytext">
    <w:name w:val="AER body text"/>
    <w:rsid w:val="005F18AD"/>
    <w:pPr>
      <w:spacing w:after="240"/>
    </w:pPr>
    <w:rPr>
      <w:sz w:val="24"/>
      <w:szCs w:val="24"/>
      <w:lang w:eastAsia="en-US"/>
    </w:rPr>
  </w:style>
  <w:style w:type="character" w:customStyle="1" w:styleId="AERbodytextChar">
    <w:name w:val="AER body text Char"/>
    <w:basedOn w:val="DefaultParagraphFont"/>
    <w:locked/>
    <w:rsid w:val="005F18AD"/>
    <w:rPr>
      <w:rFonts w:cs="Times New Roman"/>
      <w:sz w:val="24"/>
      <w:lang w:val="en-AU" w:eastAsia="en-AU" w:bidi="ar-SA"/>
    </w:rPr>
  </w:style>
  <w:style w:type="character" w:styleId="FootnoteReference">
    <w:name w:val="footnote reference"/>
    <w:basedOn w:val="DefaultParagraphFont"/>
    <w:semiHidden/>
    <w:rsid w:val="005F18AD"/>
    <w:rPr>
      <w:vertAlign w:val="superscript"/>
    </w:rPr>
  </w:style>
  <w:style w:type="paragraph" w:styleId="FootnoteText">
    <w:name w:val="footnote text"/>
    <w:basedOn w:val="Normal"/>
    <w:link w:val="FootnoteTextChar"/>
    <w:semiHidden/>
    <w:rsid w:val="005F18AD"/>
    <w:pPr>
      <w:ind w:left="340" w:hanging="340"/>
    </w:pPr>
    <w:rPr>
      <w:sz w:val="20"/>
      <w:szCs w:val="20"/>
      <w:lang w:eastAsia="en-US"/>
    </w:rPr>
  </w:style>
  <w:style w:type="character" w:customStyle="1" w:styleId="FootnoteTextChar">
    <w:name w:val="Footnote Text Char"/>
    <w:basedOn w:val="DefaultParagraphFont"/>
    <w:link w:val="FootnoteText"/>
    <w:semiHidden/>
    <w:locked/>
    <w:rsid w:val="005F18AD"/>
    <w:rPr>
      <w:lang w:val="en-AU" w:eastAsia="en-US" w:bidi="ar-SA"/>
    </w:rPr>
  </w:style>
  <w:style w:type="paragraph" w:styleId="Caption">
    <w:name w:val="caption"/>
    <w:basedOn w:val="Normal"/>
    <w:next w:val="Normal"/>
    <w:qFormat/>
    <w:rsid w:val="005F18AD"/>
    <w:rPr>
      <w:b/>
      <w:bCs/>
      <w:sz w:val="20"/>
    </w:rPr>
  </w:style>
  <w:style w:type="character" w:styleId="Hyperlink">
    <w:name w:val="Hyperlink"/>
    <w:basedOn w:val="DefaultParagraphFont"/>
    <w:semiHidden/>
    <w:rsid w:val="005F18AD"/>
    <w:rPr>
      <w:color w:val="0000FF"/>
      <w:u w:val="single"/>
    </w:rPr>
  </w:style>
  <w:style w:type="character" w:customStyle="1" w:styleId="FigHeadingChar">
    <w:name w:val="Fig Heading Char"/>
    <w:basedOn w:val="BodyTextChar"/>
    <w:locked/>
    <w:rsid w:val="005F18AD"/>
    <w:rPr>
      <w:b/>
      <w:i/>
      <w:sz w:val="22"/>
    </w:rPr>
  </w:style>
  <w:style w:type="paragraph" w:customStyle="1" w:styleId="TableHeader">
    <w:name w:val="Table Header"/>
    <w:basedOn w:val="Normal"/>
    <w:rsid w:val="005F18AD"/>
    <w:pPr>
      <w:jc w:val="center"/>
    </w:pPr>
    <w:rPr>
      <w:b/>
      <w:bCs/>
    </w:rPr>
  </w:style>
  <w:style w:type="paragraph" w:styleId="DocumentMap">
    <w:name w:val="Document Map"/>
    <w:basedOn w:val="Normal"/>
    <w:link w:val="DocumentMapChar"/>
    <w:semiHidden/>
    <w:rsid w:val="005F18AD"/>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5F18AD"/>
    <w:rPr>
      <w:rFonts w:ascii="Tahoma" w:hAnsi="Tahoma" w:cs="Tahoma"/>
      <w:szCs w:val="24"/>
      <w:lang w:val="en-AU" w:eastAsia="en-AU" w:bidi="ar-SA"/>
    </w:rPr>
  </w:style>
  <w:style w:type="paragraph" w:customStyle="1" w:styleId="Tabletext">
    <w:name w:val="Table text"/>
    <w:basedOn w:val="Normal"/>
    <w:rsid w:val="005F18AD"/>
    <w:pPr>
      <w:jc w:val="center"/>
    </w:pPr>
  </w:style>
  <w:style w:type="paragraph" w:customStyle="1" w:styleId="Char">
    <w:name w:val="Char"/>
    <w:basedOn w:val="Normal"/>
    <w:rsid w:val="005F18AD"/>
    <w:pPr>
      <w:spacing w:after="160" w:line="240" w:lineRule="exact"/>
    </w:pPr>
    <w:rPr>
      <w:rFonts w:ascii="Tahoma" w:hAnsi="Tahoma"/>
      <w:sz w:val="20"/>
      <w:lang w:val="en-US"/>
    </w:rPr>
  </w:style>
  <w:style w:type="character" w:styleId="FollowedHyperlink">
    <w:name w:val="FollowedHyperlink"/>
    <w:basedOn w:val="DefaultParagraphFont"/>
    <w:rsid w:val="005F18AD"/>
    <w:rPr>
      <w:rFonts w:cs="Times New Roman"/>
      <w:color w:val="800080"/>
      <w:u w:val="single"/>
    </w:rPr>
  </w:style>
  <w:style w:type="paragraph" w:styleId="Date">
    <w:name w:val="Date"/>
    <w:basedOn w:val="Normal"/>
    <w:next w:val="Normal"/>
    <w:link w:val="DateChar"/>
    <w:rsid w:val="005F18AD"/>
  </w:style>
  <w:style w:type="character" w:customStyle="1" w:styleId="DateChar">
    <w:name w:val="Date Char"/>
    <w:basedOn w:val="DefaultParagraphFont"/>
    <w:link w:val="Date"/>
    <w:semiHidden/>
    <w:locked/>
    <w:rsid w:val="005F18AD"/>
    <w:rPr>
      <w:sz w:val="24"/>
      <w:szCs w:val="24"/>
      <w:lang w:val="en-AU" w:eastAsia="en-AU" w:bidi="ar-SA"/>
    </w:rPr>
  </w:style>
  <w:style w:type="paragraph" w:styleId="NormalWeb">
    <w:name w:val="Normal (Web)"/>
    <w:basedOn w:val="Normal"/>
    <w:rsid w:val="005F18AD"/>
    <w:pPr>
      <w:spacing w:before="100" w:beforeAutospacing="1" w:after="100" w:afterAutospacing="1"/>
    </w:pPr>
  </w:style>
  <w:style w:type="paragraph" w:customStyle="1" w:styleId="AERBullet1">
    <w:name w:val="AER Bullet 1"/>
    <w:basedOn w:val="AERbodytext"/>
    <w:rsid w:val="005F18AD"/>
    <w:pPr>
      <w:numPr>
        <w:numId w:val="1"/>
      </w:numPr>
    </w:pPr>
  </w:style>
  <w:style w:type="paragraph" w:customStyle="1" w:styleId="Default">
    <w:name w:val="Default"/>
    <w:rsid w:val="005F18AD"/>
    <w:pPr>
      <w:autoSpaceDE w:val="0"/>
      <w:autoSpaceDN w:val="0"/>
      <w:adjustRightInd w:val="0"/>
    </w:pPr>
    <w:rPr>
      <w:color w:val="000000"/>
      <w:sz w:val="24"/>
      <w:szCs w:val="24"/>
    </w:rPr>
  </w:style>
  <w:style w:type="paragraph" w:styleId="ListContinue">
    <w:name w:val="List Continue"/>
    <w:basedOn w:val="Normal"/>
    <w:rsid w:val="005F18AD"/>
    <w:pPr>
      <w:ind w:left="283"/>
    </w:pPr>
  </w:style>
  <w:style w:type="paragraph" w:customStyle="1" w:styleId="Char0">
    <w:name w:val="Char"/>
    <w:basedOn w:val="Normal"/>
    <w:rsid w:val="005F18AD"/>
    <w:pPr>
      <w:spacing w:after="160" w:line="240" w:lineRule="exact"/>
    </w:pPr>
    <w:rPr>
      <w:rFonts w:ascii="Tahoma" w:hAnsi="Tahoma"/>
      <w:sz w:val="20"/>
      <w:lang w:val="en-US"/>
    </w:rPr>
  </w:style>
  <w:style w:type="paragraph" w:customStyle="1" w:styleId="Body1">
    <w:name w:val="Body 1"/>
    <w:basedOn w:val="Normal"/>
    <w:rsid w:val="005F18AD"/>
    <w:pPr>
      <w:keepLines/>
      <w:overflowPunct w:val="0"/>
      <w:autoSpaceDE w:val="0"/>
      <w:autoSpaceDN w:val="0"/>
      <w:adjustRightInd w:val="0"/>
      <w:spacing w:before="60" w:after="60"/>
      <w:textAlignment w:val="baseline"/>
    </w:pPr>
    <w:rPr>
      <w:rFonts w:ascii="Arial" w:hAnsi="Arial" w:cs="Arial"/>
      <w:sz w:val="20"/>
      <w:lang w:val="en-IE" w:eastAsia="en-GB"/>
    </w:rPr>
  </w:style>
  <w:style w:type="character" w:styleId="Emphasis">
    <w:name w:val="Emphasis"/>
    <w:basedOn w:val="DefaultParagraphFont"/>
    <w:qFormat/>
    <w:rsid w:val="005F18AD"/>
    <w:rPr>
      <w:i/>
      <w:iCs/>
    </w:rPr>
  </w:style>
  <w:style w:type="paragraph" w:customStyle="1" w:styleId="Footnote">
    <w:name w:val="Footnote"/>
    <w:basedOn w:val="Normal"/>
    <w:link w:val="FootnoteChar"/>
    <w:rsid w:val="005F18AD"/>
    <w:pPr>
      <w:tabs>
        <w:tab w:val="left" w:pos="7380"/>
      </w:tabs>
      <w:autoSpaceDE w:val="0"/>
      <w:autoSpaceDN w:val="0"/>
      <w:adjustRightInd w:val="0"/>
      <w:jc w:val="both"/>
    </w:pPr>
    <w:rPr>
      <w:sz w:val="20"/>
    </w:rPr>
  </w:style>
  <w:style w:type="paragraph" w:customStyle="1" w:styleId="AERunnumberedheading5">
    <w:name w:val="AER unnumbered heading 5"/>
    <w:basedOn w:val="Heading5"/>
    <w:next w:val="AERbodytext"/>
    <w:rsid w:val="005F18AD"/>
    <w:pPr>
      <w:keepNext/>
      <w:spacing w:line="240" w:lineRule="atLeast"/>
    </w:pPr>
    <w:rPr>
      <w:sz w:val="22"/>
    </w:rPr>
  </w:style>
  <w:style w:type="paragraph" w:customStyle="1" w:styleId="AERtabletextheading">
    <w:name w:val="AER table text heading"/>
    <w:basedOn w:val="AERtabletext"/>
    <w:rsid w:val="005F18AD"/>
    <w:rPr>
      <w:b/>
    </w:rPr>
  </w:style>
  <w:style w:type="paragraph" w:customStyle="1" w:styleId="FigHeadingN">
    <w:name w:val="Fig Heading N"/>
    <w:basedOn w:val="FigHeading"/>
    <w:rsid w:val="005F18AD"/>
    <w:pPr>
      <w:numPr>
        <w:ilvl w:val="1"/>
        <w:numId w:val="2"/>
      </w:numPr>
      <w:tabs>
        <w:tab w:val="clear" w:pos="0"/>
        <w:tab w:val="num" w:pos="360"/>
      </w:tabs>
    </w:pPr>
  </w:style>
  <w:style w:type="paragraph" w:customStyle="1" w:styleId="AERheading2">
    <w:name w:val="AER heading 2"/>
    <w:basedOn w:val="Heading2"/>
    <w:next w:val="AERbodytext"/>
    <w:rsid w:val="005F18AD"/>
    <w:pPr>
      <w:numPr>
        <w:ilvl w:val="1"/>
        <w:numId w:val="13"/>
      </w:numPr>
      <w:spacing w:after="120"/>
    </w:pPr>
    <w:rPr>
      <w:i w:val="0"/>
      <w:sz w:val="30"/>
      <w:lang w:eastAsia="en-US"/>
    </w:rPr>
  </w:style>
  <w:style w:type="paragraph" w:customStyle="1" w:styleId="AERheading3">
    <w:name w:val="AER heading 3"/>
    <w:basedOn w:val="Heading3"/>
    <w:next w:val="AERbodytext"/>
    <w:rsid w:val="005F18AD"/>
    <w:pPr>
      <w:numPr>
        <w:ilvl w:val="2"/>
        <w:numId w:val="13"/>
      </w:numPr>
      <w:spacing w:after="120"/>
    </w:pPr>
    <w:rPr>
      <w:rFonts w:ascii="Arial Bold" w:hAnsi="Arial Bold"/>
      <w:sz w:val="24"/>
      <w:szCs w:val="24"/>
      <w:lang w:eastAsia="en-US"/>
    </w:rPr>
  </w:style>
  <w:style w:type="paragraph" w:customStyle="1" w:styleId="AERheading4">
    <w:name w:val="AER heading 4"/>
    <w:basedOn w:val="Heading4"/>
    <w:next w:val="AERbodytext"/>
    <w:rsid w:val="005F18AD"/>
    <w:pPr>
      <w:numPr>
        <w:ilvl w:val="3"/>
        <w:numId w:val="13"/>
      </w:numPr>
      <w:spacing w:after="120"/>
    </w:pPr>
    <w:rPr>
      <w:sz w:val="22"/>
      <w:lang w:eastAsia="en-US"/>
    </w:rPr>
  </w:style>
  <w:style w:type="paragraph" w:customStyle="1" w:styleId="AERtableheading">
    <w:name w:val="AER table heading"/>
    <w:basedOn w:val="Normal"/>
    <w:next w:val="Normal"/>
    <w:rsid w:val="005F18AD"/>
    <w:pPr>
      <w:keepNext/>
      <w:numPr>
        <w:ilvl w:val="4"/>
        <w:numId w:val="13"/>
      </w:numPr>
      <w:spacing w:before="240" w:after="120"/>
      <w:outlineLvl w:val="3"/>
    </w:pPr>
    <w:rPr>
      <w:b/>
      <w:sz w:val="22"/>
      <w:lang w:eastAsia="en-US"/>
    </w:rPr>
  </w:style>
  <w:style w:type="paragraph" w:customStyle="1" w:styleId="AERfigureheading">
    <w:name w:val="AER figure heading"/>
    <w:basedOn w:val="Normal"/>
    <w:next w:val="AERbodytext"/>
    <w:rsid w:val="005F18AD"/>
    <w:pPr>
      <w:keepNext/>
      <w:numPr>
        <w:ilvl w:val="5"/>
        <w:numId w:val="13"/>
      </w:numPr>
      <w:spacing w:before="240" w:after="120"/>
      <w:outlineLvl w:val="3"/>
    </w:pPr>
    <w:rPr>
      <w:b/>
      <w:sz w:val="22"/>
      <w:lang w:eastAsia="en-US"/>
    </w:rPr>
  </w:style>
  <w:style w:type="paragraph" w:customStyle="1" w:styleId="AERtableheading-unnumbered">
    <w:name w:val="AER table heading - unnumbered"/>
    <w:basedOn w:val="AERtableheading"/>
    <w:rsid w:val="005F18AD"/>
    <w:pPr>
      <w:numPr>
        <w:ilvl w:val="6"/>
      </w:numPr>
    </w:pPr>
  </w:style>
  <w:style w:type="paragraph" w:customStyle="1" w:styleId="AERfigureheading-unnumbered">
    <w:name w:val="AER figure heading - unnumbered"/>
    <w:basedOn w:val="AERfigureheading"/>
    <w:rsid w:val="005F18AD"/>
    <w:pPr>
      <w:numPr>
        <w:ilvl w:val="7"/>
      </w:numPr>
    </w:pPr>
  </w:style>
  <w:style w:type="paragraph" w:customStyle="1" w:styleId="FigHeadingV">
    <w:name w:val="Fig Heading V"/>
    <w:basedOn w:val="FigHeading"/>
    <w:rsid w:val="005F18AD"/>
    <w:pPr>
      <w:numPr>
        <w:ilvl w:val="2"/>
        <w:numId w:val="2"/>
      </w:numPr>
      <w:tabs>
        <w:tab w:val="clear" w:pos="0"/>
        <w:tab w:val="num" w:pos="360"/>
      </w:tabs>
    </w:pPr>
  </w:style>
  <w:style w:type="paragraph" w:customStyle="1" w:styleId="FigHeadingS">
    <w:name w:val="Fig Heading S"/>
    <w:basedOn w:val="FigHeading"/>
    <w:link w:val="FigHeadingSChar"/>
    <w:rsid w:val="005F18AD"/>
    <w:pPr>
      <w:numPr>
        <w:ilvl w:val="3"/>
      </w:numPr>
    </w:pPr>
  </w:style>
  <w:style w:type="character" w:customStyle="1" w:styleId="FigHeadingSChar">
    <w:name w:val="Fig Heading S Char"/>
    <w:basedOn w:val="FigHeadingCharChar"/>
    <w:link w:val="FigHeadingS"/>
    <w:rsid w:val="005F18AD"/>
  </w:style>
  <w:style w:type="paragraph" w:customStyle="1" w:styleId="FigheadingA">
    <w:name w:val="Fig heading A"/>
    <w:basedOn w:val="Heading6"/>
    <w:rsid w:val="005F18AD"/>
    <w:pPr>
      <w:numPr>
        <w:ilvl w:val="5"/>
        <w:numId w:val="3"/>
      </w:numPr>
      <w:spacing w:before="0" w:after="120"/>
    </w:pPr>
    <w:rPr>
      <w:rFonts w:ascii="Arial" w:hAnsi="Arial" w:cs="Arial"/>
      <w:sz w:val="20"/>
      <w:szCs w:val="20"/>
    </w:rPr>
  </w:style>
  <w:style w:type="paragraph" w:customStyle="1" w:styleId="aerbodytext0">
    <w:name w:val="aerbodytext"/>
    <w:basedOn w:val="Normal"/>
    <w:rsid w:val="005F18AD"/>
    <w:pPr>
      <w:spacing w:after="240"/>
    </w:pPr>
  </w:style>
  <w:style w:type="character" w:styleId="CommentReference">
    <w:name w:val="annotation reference"/>
    <w:basedOn w:val="DefaultParagraphFont"/>
    <w:semiHidden/>
    <w:rsid w:val="005F18AD"/>
    <w:rPr>
      <w:sz w:val="16"/>
      <w:szCs w:val="16"/>
    </w:rPr>
  </w:style>
  <w:style w:type="table" w:styleId="TableGrid">
    <w:name w:val="Table Grid"/>
    <w:basedOn w:val="TableNormal"/>
    <w:rsid w:val="005F18AD"/>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1indentalphalista">
    <w:name w:val="AER (1) indent alpha list (a)"/>
    <w:basedOn w:val="Normal"/>
    <w:next w:val="Normal"/>
    <w:locked/>
    <w:rsid w:val="005F18AD"/>
    <w:pPr>
      <w:widowControl w:val="0"/>
      <w:tabs>
        <w:tab w:val="left" w:pos="1260"/>
      </w:tabs>
      <w:spacing w:after="240"/>
      <w:ind w:left="1259" w:hanging="539"/>
    </w:pPr>
    <w:rPr>
      <w:lang w:eastAsia="en-US"/>
    </w:rPr>
  </w:style>
  <w:style w:type="paragraph" w:customStyle="1" w:styleId="AERAindentcapalphalista1">
    <w:name w:val="AER (A.)  indent cap alpha list (a)(1)"/>
    <w:basedOn w:val="Normal"/>
    <w:next w:val="Normal"/>
    <w:locked/>
    <w:rsid w:val="005F18AD"/>
    <w:pPr>
      <w:tabs>
        <w:tab w:val="left" w:pos="1800"/>
      </w:tabs>
      <w:spacing w:after="240"/>
      <w:ind w:left="1798" w:hanging="539"/>
    </w:pPr>
    <w:rPr>
      <w:lang w:eastAsia="en-US"/>
    </w:rPr>
  </w:style>
  <w:style w:type="paragraph" w:customStyle="1" w:styleId="AERalphalist1">
    <w:name w:val="AER alpha list (1)"/>
    <w:basedOn w:val="Normal"/>
    <w:locked/>
    <w:rsid w:val="005F18AD"/>
    <w:pPr>
      <w:widowControl w:val="0"/>
      <w:tabs>
        <w:tab w:val="left" w:pos="1260"/>
      </w:tabs>
      <w:spacing w:after="240"/>
      <w:ind w:left="1797" w:hanging="1077"/>
    </w:pPr>
    <w:rPr>
      <w:lang w:eastAsia="en-US"/>
    </w:rPr>
  </w:style>
  <w:style w:type="paragraph" w:customStyle="1" w:styleId="AERalphalista">
    <w:name w:val="AER alpha list (a)"/>
    <w:basedOn w:val="Normal"/>
    <w:locked/>
    <w:rsid w:val="005F18AD"/>
    <w:pPr>
      <w:spacing w:after="240"/>
      <w:ind w:left="720" w:hanging="720"/>
    </w:pPr>
    <w:rPr>
      <w:lang w:eastAsia="en-US"/>
    </w:rPr>
  </w:style>
  <w:style w:type="paragraph" w:customStyle="1" w:styleId="AERappendixfigureheading">
    <w:name w:val="AER appendix figure heading"/>
    <w:basedOn w:val="Normal"/>
    <w:next w:val="Normal"/>
    <w:rsid w:val="005F18AD"/>
    <w:pPr>
      <w:keepNext/>
      <w:numPr>
        <w:ilvl w:val="5"/>
        <w:numId w:val="11"/>
      </w:numPr>
      <w:spacing w:before="240" w:after="120"/>
      <w:outlineLvl w:val="3"/>
    </w:pPr>
    <w:rPr>
      <w:b/>
      <w:sz w:val="22"/>
      <w:lang w:eastAsia="en-US"/>
    </w:rPr>
  </w:style>
  <w:style w:type="paragraph" w:customStyle="1" w:styleId="AERappendixheading1">
    <w:name w:val="AER appendix heading 1"/>
    <w:basedOn w:val="AERheading1"/>
    <w:next w:val="AERbodytext"/>
    <w:rsid w:val="005F18AD"/>
    <w:pPr>
      <w:widowControl w:val="0"/>
      <w:numPr>
        <w:numId w:val="11"/>
      </w:numPr>
      <w:jc w:val="both"/>
    </w:pPr>
    <w:rPr>
      <w:rFonts w:ascii="Arial Bold" w:hAnsi="Arial Bold"/>
      <w:b w:val="0"/>
      <w:bCs w:val="0"/>
      <w:spacing w:val="5"/>
      <w:kern w:val="36"/>
      <w:szCs w:val="27"/>
    </w:rPr>
  </w:style>
  <w:style w:type="paragraph" w:customStyle="1" w:styleId="AERappendixheading2">
    <w:name w:val="AER appendix heading 2"/>
    <w:basedOn w:val="AERappendixheading1"/>
    <w:next w:val="AERbodytext"/>
    <w:rsid w:val="005F18AD"/>
    <w:pPr>
      <w:pageBreakBefore w:val="0"/>
      <w:numPr>
        <w:ilvl w:val="1"/>
      </w:numPr>
    </w:pPr>
    <w:rPr>
      <w:sz w:val="30"/>
    </w:rPr>
  </w:style>
  <w:style w:type="paragraph" w:customStyle="1" w:styleId="AERappendixheading3">
    <w:name w:val="AER appendix heading 3"/>
    <w:basedOn w:val="AERappendixheading2"/>
    <w:next w:val="AERbodytext"/>
    <w:rsid w:val="005F18AD"/>
    <w:pPr>
      <w:numPr>
        <w:ilvl w:val="2"/>
      </w:numPr>
    </w:pPr>
    <w:rPr>
      <w:sz w:val="24"/>
    </w:rPr>
  </w:style>
  <w:style w:type="paragraph" w:customStyle="1" w:styleId="AERappendixheading4">
    <w:name w:val="AER appendix heading 4"/>
    <w:basedOn w:val="AERheading4"/>
    <w:next w:val="AERbodytext"/>
    <w:rsid w:val="005F18AD"/>
    <w:pPr>
      <w:numPr>
        <w:numId w:val="11"/>
      </w:numPr>
    </w:pPr>
  </w:style>
  <w:style w:type="paragraph" w:customStyle="1" w:styleId="AERappendixtableheading">
    <w:name w:val="AER appendix table heading"/>
    <w:basedOn w:val="AERtableheading"/>
    <w:next w:val="AERbodytext"/>
    <w:rsid w:val="005F18AD"/>
    <w:pPr>
      <w:numPr>
        <w:numId w:val="11"/>
      </w:numPr>
    </w:pPr>
  </w:style>
  <w:style w:type="character" w:customStyle="1" w:styleId="AERbold">
    <w:name w:val="AER bold"/>
    <w:rsid w:val="005F18AD"/>
    <w:rPr>
      <w:b/>
    </w:rPr>
  </w:style>
  <w:style w:type="character" w:customStyle="1" w:styleId="AERbolditals">
    <w:name w:val="AER bold itals"/>
    <w:rsid w:val="005F18AD"/>
    <w:rPr>
      <w:b/>
      <w:i/>
    </w:rPr>
  </w:style>
  <w:style w:type="paragraph" w:customStyle="1" w:styleId="AERbulletlistfirststyle">
    <w:name w:val="AER bullet list (first style)"/>
    <w:basedOn w:val="Normal"/>
    <w:rsid w:val="005F18AD"/>
    <w:pPr>
      <w:numPr>
        <w:numId w:val="4"/>
      </w:numPr>
      <w:spacing w:after="240" w:line="240" w:lineRule="atLeast"/>
    </w:pPr>
    <w:rPr>
      <w:lang w:eastAsia="en-US"/>
    </w:rPr>
  </w:style>
  <w:style w:type="paragraph" w:customStyle="1" w:styleId="AERbulletlistsecondstyle">
    <w:name w:val="AER bullet list (second style)"/>
    <w:basedOn w:val="AERbodytext"/>
    <w:rsid w:val="005F18AD"/>
    <w:pPr>
      <w:numPr>
        <w:numId w:val="5"/>
      </w:numPr>
      <w:tabs>
        <w:tab w:val="clear" w:pos="714"/>
        <w:tab w:val="left" w:pos="720"/>
      </w:tabs>
      <w:ind w:left="720" w:hanging="363"/>
    </w:pPr>
  </w:style>
  <w:style w:type="paragraph" w:customStyle="1" w:styleId="AERbulletlistthirdstyle">
    <w:name w:val="AER bullet list (third style)"/>
    <w:basedOn w:val="Normal"/>
    <w:rsid w:val="005F18AD"/>
    <w:pPr>
      <w:numPr>
        <w:numId w:val="6"/>
      </w:numPr>
      <w:tabs>
        <w:tab w:val="clear" w:pos="870"/>
        <w:tab w:val="left" w:pos="1077"/>
      </w:tabs>
      <w:spacing w:before="120" w:after="120"/>
      <w:ind w:left="1077" w:hanging="357"/>
    </w:pPr>
    <w:rPr>
      <w:lang w:eastAsia="en-US"/>
    </w:rPr>
  </w:style>
  <w:style w:type="paragraph" w:customStyle="1" w:styleId="AERcopyrighttext">
    <w:name w:val="AER copyright text"/>
    <w:basedOn w:val="Normal"/>
    <w:rsid w:val="005F18AD"/>
    <w:pPr>
      <w:spacing w:before="240" w:after="240"/>
    </w:pPr>
    <w:rPr>
      <w:sz w:val="20"/>
      <w:lang w:eastAsia="en-US"/>
    </w:rPr>
  </w:style>
  <w:style w:type="paragraph" w:customStyle="1" w:styleId="AERDecisionBox">
    <w:name w:val="AER Decision Box"/>
    <w:basedOn w:val="AERbodytext"/>
    <w:rsid w:val="005F18AD"/>
    <w:pPr>
      <w:keepLines/>
      <w:pBdr>
        <w:top w:val="single" w:sz="4" w:space="5" w:color="auto"/>
        <w:left w:val="single" w:sz="4" w:space="5" w:color="auto"/>
        <w:bottom w:val="single" w:sz="4" w:space="5" w:color="auto"/>
        <w:right w:val="single" w:sz="4" w:space="5" w:color="auto"/>
      </w:pBdr>
      <w:shd w:val="clear" w:color="auto" w:fill="CCCCCC"/>
    </w:pPr>
  </w:style>
  <w:style w:type="paragraph" w:customStyle="1" w:styleId="AERdraftfinalminortitle">
    <w:name w:val="AER 'draft/final' minor title"/>
    <w:next w:val="Title"/>
    <w:rsid w:val="005F18AD"/>
    <w:pPr>
      <w:spacing w:before="3600" w:after="600"/>
      <w:jc w:val="center"/>
      <w:outlineLvl w:val="1"/>
    </w:pPr>
    <w:rPr>
      <w:rFonts w:ascii="Arial" w:hAnsi="Arial"/>
      <w:sz w:val="32"/>
      <w:lang w:eastAsia="en-US"/>
    </w:rPr>
  </w:style>
  <w:style w:type="paragraph" w:styleId="Title">
    <w:name w:val="Title"/>
    <w:next w:val="Subtitle"/>
    <w:qFormat/>
    <w:rsid w:val="005F18AD"/>
    <w:pPr>
      <w:spacing w:before="2400" w:after="1920"/>
      <w:jc w:val="center"/>
    </w:pPr>
    <w:rPr>
      <w:rFonts w:ascii="Arial" w:hAnsi="Arial" w:cs="Arial"/>
      <w:b/>
      <w:bCs/>
      <w:kern w:val="28"/>
      <w:sz w:val="36"/>
      <w:szCs w:val="32"/>
      <w:lang w:eastAsia="en-US"/>
    </w:rPr>
  </w:style>
  <w:style w:type="paragraph" w:customStyle="1" w:styleId="AERFinalminortitle">
    <w:name w:val="AER 'Final' minor title"/>
    <w:next w:val="Title"/>
    <w:rsid w:val="005F18AD"/>
    <w:pPr>
      <w:spacing w:before="3600" w:after="600"/>
      <w:jc w:val="center"/>
    </w:pPr>
    <w:rPr>
      <w:rFonts w:ascii="Arial" w:hAnsi="Arial" w:cs="Arial"/>
      <w:sz w:val="32"/>
      <w:szCs w:val="24"/>
      <w:lang w:eastAsia="en-US"/>
    </w:rPr>
  </w:style>
  <w:style w:type="paragraph" w:customStyle="1" w:styleId="AERheading1">
    <w:name w:val="AER heading 1"/>
    <w:basedOn w:val="Heading1"/>
    <w:next w:val="AERbodytext"/>
    <w:rsid w:val="005F18AD"/>
    <w:pPr>
      <w:pageBreakBefore/>
      <w:numPr>
        <w:numId w:val="13"/>
      </w:numPr>
      <w:spacing w:after="120"/>
    </w:pPr>
    <w:rPr>
      <w:sz w:val="36"/>
      <w:lang w:eastAsia="en-US"/>
    </w:rPr>
  </w:style>
  <w:style w:type="character" w:customStyle="1" w:styleId="AERitals">
    <w:name w:val="AER itals"/>
    <w:rsid w:val="005F18AD"/>
    <w:rPr>
      <w:i/>
    </w:rPr>
  </w:style>
  <w:style w:type="paragraph" w:customStyle="1" w:styleId="AERmaintitle">
    <w:name w:val="AER main title"/>
    <w:next w:val="AERdraftfinalminortitle"/>
    <w:rsid w:val="005F18AD"/>
    <w:pPr>
      <w:spacing w:before="2400" w:after="2000"/>
    </w:pPr>
    <w:rPr>
      <w:rFonts w:ascii="Arial" w:hAnsi="Arial" w:cs="Arial"/>
      <w:b/>
      <w:bCs/>
      <w:kern w:val="28"/>
      <w:sz w:val="32"/>
      <w:szCs w:val="32"/>
      <w:lang w:eastAsia="en-US"/>
    </w:rPr>
  </w:style>
  <w:style w:type="paragraph" w:customStyle="1" w:styleId="AERnumberedlistfirststyle">
    <w:name w:val="AER numbered list (first style)"/>
    <w:rsid w:val="005F18AD"/>
    <w:pPr>
      <w:numPr>
        <w:numId w:val="7"/>
      </w:numPr>
      <w:spacing w:before="120" w:after="120" w:line="240" w:lineRule="atLeast"/>
    </w:pPr>
    <w:rPr>
      <w:sz w:val="24"/>
      <w:szCs w:val="24"/>
      <w:lang w:eastAsia="en-US"/>
    </w:rPr>
  </w:style>
  <w:style w:type="paragraph" w:customStyle="1" w:styleId="AERnumberedlistsecondstyle">
    <w:name w:val="AER numbered list (second style)"/>
    <w:basedOn w:val="AERnumberedlistfirststyle"/>
    <w:rsid w:val="005F18AD"/>
    <w:pPr>
      <w:numPr>
        <w:numId w:val="8"/>
      </w:numPr>
      <w:tabs>
        <w:tab w:val="left" w:pos="720"/>
      </w:tabs>
      <w:ind w:hanging="363"/>
    </w:pPr>
  </w:style>
  <w:style w:type="paragraph" w:customStyle="1" w:styleId="AERnumberedlistthirdstyle">
    <w:name w:val="AER numbered list (third style)"/>
    <w:basedOn w:val="AERnumberedlistsecondstyle"/>
    <w:rsid w:val="005F18AD"/>
    <w:pPr>
      <w:numPr>
        <w:numId w:val="9"/>
      </w:numPr>
      <w:tabs>
        <w:tab w:val="clear" w:pos="1440"/>
        <w:tab w:val="left" w:pos="720"/>
        <w:tab w:val="left" w:pos="1077"/>
      </w:tabs>
      <w:ind w:left="1077" w:hanging="357"/>
    </w:pPr>
  </w:style>
  <w:style w:type="paragraph" w:customStyle="1" w:styleId="AERquote">
    <w:name w:val="AER quote"/>
    <w:basedOn w:val="Normal"/>
    <w:next w:val="AERbodytext"/>
    <w:rsid w:val="005F18AD"/>
    <w:pPr>
      <w:spacing w:after="240"/>
      <w:ind w:left="1077" w:right="1077"/>
    </w:pPr>
    <w:rPr>
      <w:color w:val="000000"/>
      <w:sz w:val="20"/>
      <w:lang w:eastAsia="en-US"/>
    </w:rPr>
  </w:style>
  <w:style w:type="paragraph" w:customStyle="1" w:styleId="AERquotebullet1">
    <w:name w:val="AER quote bullet 1"/>
    <w:basedOn w:val="AERquote"/>
    <w:rsid w:val="005F18AD"/>
    <w:pPr>
      <w:numPr>
        <w:ilvl w:val="1"/>
        <w:numId w:val="10"/>
      </w:numPr>
      <w:tabs>
        <w:tab w:val="clear" w:pos="1378"/>
        <w:tab w:val="left" w:pos="1440"/>
      </w:tabs>
      <w:ind w:left="1440" w:hanging="363"/>
    </w:pPr>
  </w:style>
  <w:style w:type="character" w:customStyle="1" w:styleId="AERsubscript">
    <w:name w:val="AER subscript"/>
    <w:rsid w:val="005F18AD"/>
    <w:rPr>
      <w:vertAlign w:val="subscript"/>
    </w:rPr>
  </w:style>
  <w:style w:type="character" w:customStyle="1" w:styleId="AERsuperscript">
    <w:name w:val="AER superscript"/>
    <w:rsid w:val="005F18AD"/>
    <w:rPr>
      <w:vertAlign w:val="superscript"/>
    </w:rPr>
  </w:style>
  <w:style w:type="table" w:customStyle="1" w:styleId="AERtable-numbers">
    <w:name w:val="AER table - numbers"/>
    <w:basedOn w:val="TableNormal"/>
    <w:rsid w:val="005F18AD"/>
    <w:pPr>
      <w:keepNext/>
      <w:spacing w:before="40" w:after="40"/>
      <w:jc w:val="right"/>
    </w:pPr>
    <w:tblPr>
      <w:tblStyleRowBandSize w:val="1"/>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tcPr>
    <w:tblStylePr w:type="firstRow">
      <w:rPr>
        <w:rFonts w:ascii="Times New Roman" w:hAnsi="Times New Roman"/>
        <w:b w:val="0"/>
      </w:rPr>
      <w:tblPr/>
      <w:tcPr>
        <w:tcBorders>
          <w:top w:val="single" w:sz="12" w:space="0" w:color="auto"/>
          <w:left w:val="nil"/>
          <w:bottom w:val="single" w:sz="4" w:space="0" w:color="auto"/>
          <w:right w:val="nil"/>
          <w:insideH w:val="nil"/>
          <w:insideV w:val="nil"/>
          <w:tl2br w:val="nil"/>
          <w:tr2bl w:val="nil"/>
        </w:tcBorders>
      </w:tcPr>
    </w:tblStylePr>
    <w:tblStylePr w:type="firstCol">
      <w:pPr>
        <w:jc w:val="left"/>
      </w:pPr>
    </w:tblStylePr>
  </w:style>
  <w:style w:type="paragraph" w:customStyle="1" w:styleId="AERtablesource">
    <w:name w:val="AER table source"/>
    <w:next w:val="AERbodytext"/>
    <w:rsid w:val="005F18AD"/>
    <w:pPr>
      <w:tabs>
        <w:tab w:val="left" w:pos="1361"/>
      </w:tabs>
      <w:spacing w:before="40" w:after="240"/>
      <w:ind w:left="794" w:right="1077" w:hanging="794"/>
      <w:contextualSpacing/>
    </w:pPr>
    <w:rPr>
      <w:szCs w:val="24"/>
      <w:lang w:eastAsia="en-US"/>
    </w:rPr>
  </w:style>
  <w:style w:type="paragraph" w:customStyle="1" w:styleId="AERtabletext">
    <w:name w:val="AER table text"/>
    <w:basedOn w:val="Normal"/>
    <w:rsid w:val="005F18AD"/>
    <w:pPr>
      <w:widowControl w:val="0"/>
      <w:spacing w:before="120" w:after="120"/>
    </w:pPr>
    <w:rPr>
      <w:sz w:val="20"/>
      <w:lang w:eastAsia="en-US"/>
    </w:rPr>
  </w:style>
  <w:style w:type="character" w:customStyle="1" w:styleId="AERunderline">
    <w:name w:val="AER underline"/>
    <w:rsid w:val="005F18AD"/>
    <w:rPr>
      <w:u w:val="single"/>
    </w:rPr>
  </w:style>
  <w:style w:type="paragraph" w:customStyle="1" w:styleId="AERunnumberedheading1">
    <w:name w:val="AER unnumbered heading 1"/>
    <w:basedOn w:val="Normal"/>
    <w:next w:val="AERbodytext"/>
    <w:rsid w:val="005F18AD"/>
    <w:pPr>
      <w:pageBreakBefore/>
      <w:widowControl w:val="0"/>
      <w:tabs>
        <w:tab w:val="left" w:pos="851"/>
      </w:tabs>
      <w:spacing w:before="240" w:after="120"/>
      <w:outlineLvl w:val="0"/>
    </w:pPr>
    <w:rPr>
      <w:rFonts w:ascii="Arial Bold" w:hAnsi="Arial Bold"/>
      <w:b/>
      <w:bCs/>
      <w:spacing w:val="5"/>
      <w:kern w:val="36"/>
      <w:sz w:val="36"/>
      <w:szCs w:val="27"/>
      <w:lang w:eastAsia="en-US"/>
    </w:rPr>
  </w:style>
  <w:style w:type="paragraph" w:customStyle="1" w:styleId="AERunnumberedheading2">
    <w:name w:val="AER unnumbered heading 2"/>
    <w:basedOn w:val="Normal"/>
    <w:next w:val="AERbodytext"/>
    <w:rsid w:val="005F18AD"/>
    <w:pPr>
      <w:keepNext/>
      <w:tabs>
        <w:tab w:val="left" w:pos="851"/>
      </w:tabs>
      <w:spacing w:before="240" w:after="120"/>
    </w:pPr>
    <w:rPr>
      <w:rFonts w:ascii="Arial Bold" w:hAnsi="Arial Bold"/>
      <w:sz w:val="30"/>
      <w:lang w:eastAsia="en-US"/>
    </w:rPr>
  </w:style>
  <w:style w:type="paragraph" w:customStyle="1" w:styleId="AERunnumberedheading3">
    <w:name w:val="AER unnumbered heading 3"/>
    <w:basedOn w:val="Normal"/>
    <w:next w:val="AERbodytext"/>
    <w:rsid w:val="005F18AD"/>
    <w:pPr>
      <w:keepNext/>
      <w:tabs>
        <w:tab w:val="left" w:pos="851"/>
      </w:tabs>
      <w:spacing w:before="240" w:after="120"/>
    </w:pPr>
    <w:rPr>
      <w:rFonts w:ascii="Arial Bold" w:hAnsi="Arial Bold"/>
      <w:lang w:eastAsia="en-US"/>
    </w:rPr>
  </w:style>
  <w:style w:type="paragraph" w:customStyle="1" w:styleId="AERunnumberedheading4">
    <w:name w:val="AER unnumbered heading 4"/>
    <w:basedOn w:val="Normal"/>
    <w:next w:val="AERbodytext"/>
    <w:rsid w:val="005F18AD"/>
    <w:pPr>
      <w:keepNext/>
      <w:tabs>
        <w:tab w:val="left" w:pos="851"/>
        <w:tab w:val="left" w:pos="1080"/>
      </w:tabs>
      <w:spacing w:before="240" w:after="120"/>
      <w:outlineLvl w:val="3"/>
    </w:pPr>
    <w:rPr>
      <w:b/>
      <w:sz w:val="22"/>
      <w:lang w:eastAsia="en-US"/>
    </w:rPr>
  </w:style>
  <w:style w:type="character" w:styleId="PageNumber">
    <w:name w:val="page number"/>
    <w:basedOn w:val="DefaultParagraphFont"/>
    <w:rsid w:val="005F18AD"/>
    <w:rPr>
      <w:rFonts w:ascii="Arial" w:hAnsi="Arial"/>
      <w:sz w:val="20"/>
    </w:rPr>
  </w:style>
  <w:style w:type="paragraph" w:styleId="Subtitle">
    <w:name w:val="Subtitle"/>
    <w:qFormat/>
    <w:rsid w:val="005F18AD"/>
    <w:pPr>
      <w:spacing w:after="60"/>
      <w:jc w:val="center"/>
      <w:outlineLvl w:val="1"/>
    </w:pPr>
    <w:rPr>
      <w:rFonts w:ascii="Arial" w:hAnsi="Arial" w:cs="Arial"/>
      <w:sz w:val="28"/>
      <w:szCs w:val="24"/>
      <w:lang w:eastAsia="en-US"/>
    </w:rPr>
  </w:style>
  <w:style w:type="paragraph" w:styleId="TOC1">
    <w:name w:val="toc 1"/>
    <w:basedOn w:val="Normal"/>
    <w:next w:val="Normal"/>
    <w:rsid w:val="005F18AD"/>
    <w:pPr>
      <w:tabs>
        <w:tab w:val="left" w:pos="567"/>
        <w:tab w:val="right" w:leader="dot" w:pos="8307"/>
      </w:tabs>
      <w:spacing w:before="120" w:after="120"/>
    </w:pPr>
    <w:rPr>
      <w:b/>
      <w:lang w:eastAsia="en-US"/>
    </w:rPr>
  </w:style>
  <w:style w:type="paragraph" w:styleId="TOC2">
    <w:name w:val="toc 2"/>
    <w:basedOn w:val="Normal"/>
    <w:next w:val="Normal"/>
    <w:rsid w:val="005F18AD"/>
    <w:pPr>
      <w:tabs>
        <w:tab w:val="left" w:pos="1080"/>
        <w:tab w:val="right" w:leader="dot" w:pos="8307"/>
      </w:tabs>
      <w:ind w:left="1134" w:hanging="567"/>
    </w:pPr>
    <w:rPr>
      <w:lang w:eastAsia="en-US"/>
    </w:rPr>
  </w:style>
  <w:style w:type="paragraph" w:styleId="TOC3">
    <w:name w:val="toc 3"/>
    <w:basedOn w:val="Normal"/>
    <w:next w:val="Normal"/>
    <w:rsid w:val="005F18AD"/>
    <w:pPr>
      <w:tabs>
        <w:tab w:val="left" w:pos="1980"/>
        <w:tab w:val="right" w:leader="dot" w:pos="8307"/>
      </w:tabs>
      <w:ind w:left="1980" w:hanging="900"/>
    </w:pPr>
    <w:rPr>
      <w:lang w:eastAsia="en-US"/>
    </w:rPr>
  </w:style>
  <w:style w:type="table" w:customStyle="1" w:styleId="AERtable-text">
    <w:name w:val="AER table - text"/>
    <w:basedOn w:val="AERtable-numbers"/>
    <w:rsid w:val="005F18AD"/>
    <w:pPr>
      <w:jc w:val="left"/>
    </w:pPr>
    <w:tblPr>
      <w:tblStyleRowBandSize w:val="1"/>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tcPr>
    <w:tblStylePr w:type="firstRow">
      <w:rPr>
        <w:rFonts w:ascii="Times New Roman" w:hAnsi="Times New Roman"/>
        <w:b w:val="0"/>
      </w:rPr>
      <w:tblPr/>
      <w:tcPr>
        <w:tcBorders>
          <w:top w:val="single" w:sz="12" w:space="0" w:color="auto"/>
          <w:left w:val="nil"/>
          <w:bottom w:val="single" w:sz="4" w:space="0" w:color="auto"/>
          <w:right w:val="nil"/>
          <w:insideH w:val="nil"/>
          <w:insideV w:val="nil"/>
          <w:tl2br w:val="nil"/>
          <w:tr2bl w:val="nil"/>
        </w:tcBorders>
      </w:tcPr>
    </w:tblStylePr>
    <w:tblStylePr w:type="firstCol">
      <w:pPr>
        <w:jc w:val="left"/>
      </w:pPr>
    </w:tblStylePr>
  </w:style>
  <w:style w:type="paragraph" w:customStyle="1" w:styleId="AERquoteindent1">
    <w:name w:val="AER quote (indent 1)"/>
    <w:basedOn w:val="AERquote"/>
    <w:rsid w:val="005F18AD"/>
    <w:pPr>
      <w:ind w:left="1440" w:right="1440"/>
    </w:pPr>
  </w:style>
  <w:style w:type="paragraph" w:customStyle="1" w:styleId="AERbodytextindent2">
    <w:name w:val="AER body text (indent 2)"/>
    <w:basedOn w:val="AERbodytext"/>
    <w:rsid w:val="005F18AD"/>
    <w:pPr>
      <w:ind w:left="720"/>
    </w:pPr>
  </w:style>
  <w:style w:type="paragraph" w:customStyle="1" w:styleId="AERbodytextindent1">
    <w:name w:val="AER body text (indent 1)"/>
    <w:basedOn w:val="AERbodytext"/>
    <w:rsid w:val="005F18AD"/>
    <w:pPr>
      <w:ind w:left="357"/>
    </w:pPr>
  </w:style>
  <w:style w:type="paragraph" w:customStyle="1" w:styleId="AERbodytextindent3">
    <w:name w:val="AER body text (indent 3)"/>
    <w:basedOn w:val="AERbodytext"/>
    <w:rsid w:val="005F18AD"/>
    <w:pPr>
      <w:ind w:left="1077"/>
    </w:pPr>
  </w:style>
  <w:style w:type="paragraph" w:customStyle="1" w:styleId="AERunnumberedheading6">
    <w:name w:val="AER unnumbered heading 6"/>
    <w:basedOn w:val="Heading6"/>
    <w:next w:val="AERbodytext"/>
    <w:rsid w:val="005F18AD"/>
    <w:pPr>
      <w:spacing w:before="120" w:after="0"/>
    </w:pPr>
    <w:rPr>
      <w:b w:val="0"/>
      <w:i/>
      <w:lang w:eastAsia="en-US"/>
    </w:rPr>
  </w:style>
  <w:style w:type="paragraph" w:customStyle="1" w:styleId="AERquoteindent2">
    <w:name w:val="AER quote (indent 2)"/>
    <w:basedOn w:val="AERquoteindent1"/>
    <w:rsid w:val="005F18AD"/>
    <w:pPr>
      <w:ind w:left="1797" w:right="1797"/>
    </w:pPr>
  </w:style>
  <w:style w:type="paragraph" w:customStyle="1" w:styleId="AERquoteindent3">
    <w:name w:val="AER quote (indent 3)"/>
    <w:basedOn w:val="AERquoteindent2"/>
    <w:rsid w:val="005F18AD"/>
    <w:pPr>
      <w:ind w:left="2160" w:right="2160"/>
    </w:pPr>
  </w:style>
  <w:style w:type="character" w:customStyle="1" w:styleId="FigHeadingChar1">
    <w:name w:val="Fig Heading Char1"/>
    <w:basedOn w:val="DefaultParagraphFont"/>
    <w:rsid w:val="00CF53CA"/>
    <w:rPr>
      <w:rFonts w:ascii="Arial" w:hAnsi="Arial" w:cs="Arial"/>
      <w:b/>
      <w:lang w:val="en-AU" w:eastAsia="en-US" w:bidi="ar-SA"/>
    </w:rPr>
  </w:style>
  <w:style w:type="character" w:customStyle="1" w:styleId="FootnoteChar">
    <w:name w:val="Footnote Char"/>
    <w:basedOn w:val="DefaultParagraphFont"/>
    <w:link w:val="Footnote"/>
    <w:rsid w:val="006F4169"/>
    <w:rPr>
      <w:szCs w:val="24"/>
      <w:lang w:val="en-AU" w:eastAsia="en-AU" w:bidi="ar-SA"/>
    </w:rPr>
  </w:style>
</w:styles>
</file>

<file path=word/webSettings.xml><?xml version="1.0" encoding="utf-8"?>
<w:webSettings xmlns:r="http://schemas.openxmlformats.org/officeDocument/2006/relationships" xmlns:w="http://schemas.openxmlformats.org/wordprocessingml/2006/main">
  <w:divs>
    <w:div w:id="700863153">
      <w:bodyDiv w:val="1"/>
      <w:marLeft w:val="0"/>
      <w:marRight w:val="0"/>
      <w:marTop w:val="0"/>
      <w:marBottom w:val="0"/>
      <w:divBdr>
        <w:top w:val="none" w:sz="0" w:space="0" w:color="auto"/>
        <w:left w:val="none" w:sz="0" w:space="0" w:color="auto"/>
        <w:bottom w:val="none" w:sz="0" w:space="0" w:color="auto"/>
        <w:right w:val="none" w:sz="0" w:space="0" w:color="auto"/>
      </w:divBdr>
    </w:div>
    <w:div w:id="872185116">
      <w:bodyDiv w:val="1"/>
      <w:marLeft w:val="0"/>
      <w:marRight w:val="0"/>
      <w:marTop w:val="0"/>
      <w:marBottom w:val="0"/>
      <w:divBdr>
        <w:top w:val="none" w:sz="0" w:space="0" w:color="auto"/>
        <w:left w:val="none" w:sz="0" w:space="0" w:color="auto"/>
        <w:bottom w:val="none" w:sz="0" w:space="0" w:color="auto"/>
        <w:right w:val="none" w:sz="0" w:space="0" w:color="auto"/>
      </w:divBdr>
    </w:div>
    <w:div w:id="1117607492">
      <w:bodyDiv w:val="1"/>
      <w:marLeft w:val="0"/>
      <w:marRight w:val="0"/>
      <w:marTop w:val="0"/>
      <w:marBottom w:val="0"/>
      <w:divBdr>
        <w:top w:val="none" w:sz="0" w:space="0" w:color="auto"/>
        <w:left w:val="none" w:sz="0" w:space="0" w:color="auto"/>
        <w:bottom w:val="none" w:sz="0" w:space="0" w:color="auto"/>
        <w:right w:val="none" w:sz="0" w:space="0" w:color="auto"/>
      </w:divBdr>
    </w:div>
    <w:div w:id="1458179203">
      <w:bodyDiv w:val="1"/>
      <w:marLeft w:val="0"/>
      <w:marRight w:val="0"/>
      <w:marTop w:val="0"/>
      <w:marBottom w:val="0"/>
      <w:divBdr>
        <w:top w:val="none" w:sz="0" w:space="0" w:color="auto"/>
        <w:left w:val="none" w:sz="0" w:space="0" w:color="auto"/>
        <w:bottom w:val="none" w:sz="0" w:space="0" w:color="auto"/>
        <w:right w:val="none" w:sz="0" w:space="0" w:color="auto"/>
      </w:divBdr>
    </w:div>
    <w:div w:id="18563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hyperlink" Target="http://www.aer.gov.au/node/456" TargetMode="Externa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www.aer.gov.au/node/451" TargetMode="External"/><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1660</Words>
  <Characters>8108</Characters>
  <Application>Microsoft Office Word</Application>
  <DocSecurity>0</DocSecurity>
  <Lines>67</Lines>
  <Paragraphs>19</Paragraphs>
  <ScaleCrop>false</ScaleCrop>
  <Company/>
  <LinksUpToDate>false</LinksUpToDate>
  <CharactersWithSpaces>9749</CharactersWithSpaces>
  <SharedDoc>false</SharedDoc>
  <HLinks>
    <vt:vector size="12" baseType="variant">
      <vt:variant>
        <vt:i4>7274559</vt:i4>
      </vt:variant>
      <vt:variant>
        <vt:i4>3</vt:i4>
      </vt:variant>
      <vt:variant>
        <vt:i4>0</vt:i4>
      </vt:variant>
      <vt:variant>
        <vt:i4>5</vt:i4>
      </vt:variant>
      <vt:variant>
        <vt:lpwstr>http://www.aer.gov.au/node/456</vt:lpwstr>
      </vt:variant>
      <vt:variant>
        <vt:lpwstr/>
      </vt:variant>
      <vt:variant>
        <vt:i4>6815807</vt:i4>
      </vt:variant>
      <vt:variant>
        <vt:i4>0</vt:i4>
      </vt:variant>
      <vt:variant>
        <vt:i4>0</vt:i4>
      </vt:variant>
      <vt:variant>
        <vt:i4>5</vt:i4>
      </vt:variant>
      <vt:variant>
        <vt:lpwstr>http://www.aer.gov.au/node/451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2013-01-25T04:57:00Z</dcterms:created>
  <dcterms:modified xsi:type="dcterms:W3CDTF">2013-01-25T04:57:00Z</dcterms:modified>
</cp:coreProperties>
</file>