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CC2" w:rsidRPr="0020711E" w:rsidRDefault="00155BB5" w:rsidP="000A1CC2">
      <w:pPr>
        <w:pStyle w:val="AERtitle1"/>
        <w:rPr>
          <w:rStyle w:val="AERtextsize8"/>
        </w:rPr>
      </w:pPr>
      <w:r w:rsidRPr="00155BB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80.1pt;margin-top:-80.8pt;width:604.15pt;height:850pt;z-index:-251658752">
            <v:imagedata r:id="rId8" o:title="AER-final-orange"/>
          </v:shape>
        </w:pict>
      </w:r>
    </w:p>
    <w:p w:rsidR="009658F0" w:rsidRDefault="009658F0" w:rsidP="000A1CC2">
      <w:pPr>
        <w:pStyle w:val="AERtitle1"/>
      </w:pPr>
    </w:p>
    <w:p w:rsidR="009658F0" w:rsidRDefault="009658F0" w:rsidP="000A1CC2">
      <w:pPr>
        <w:pStyle w:val="AERtitle1"/>
      </w:pPr>
    </w:p>
    <w:p w:rsidR="00CB1CBF" w:rsidRDefault="00CB1CBF" w:rsidP="000A1CC2">
      <w:pPr>
        <w:pStyle w:val="AERtitle1"/>
      </w:pPr>
    </w:p>
    <w:p w:rsidR="00CB1CBF" w:rsidRDefault="00CB1CBF" w:rsidP="000A1CC2">
      <w:pPr>
        <w:pStyle w:val="AERtitle1"/>
      </w:pPr>
    </w:p>
    <w:p w:rsidR="00CB1CBF" w:rsidRDefault="00CB1CBF" w:rsidP="000A1CC2">
      <w:pPr>
        <w:pStyle w:val="AERtitle1"/>
      </w:pPr>
    </w:p>
    <w:p w:rsidR="00CB1CBF" w:rsidRDefault="00CB1CBF" w:rsidP="000A1CC2">
      <w:pPr>
        <w:pStyle w:val="AERtitle1"/>
      </w:pPr>
    </w:p>
    <w:p w:rsidR="00CB1CBF" w:rsidRDefault="00CB1CBF" w:rsidP="003E107E">
      <w:pPr>
        <w:pStyle w:val="AERtitle1"/>
      </w:pPr>
      <w:r>
        <w:t xml:space="preserve">   </w:t>
      </w:r>
      <w:r w:rsidRPr="003E107E">
        <w:t>Determination</w:t>
      </w:r>
    </w:p>
    <w:p w:rsidR="00CB1CBF" w:rsidRDefault="00CB1CBF" w:rsidP="00CB1CBF">
      <w:pPr>
        <w:pStyle w:val="AERtitle1"/>
      </w:pPr>
      <w:r>
        <w:t xml:space="preserve">       </w:t>
      </w:r>
      <w:r w:rsidR="009658F0">
        <w:t xml:space="preserve"> </w:t>
      </w:r>
      <w:r>
        <w:t xml:space="preserve">Advanced Metering Infrastructure </w:t>
      </w:r>
    </w:p>
    <w:p w:rsidR="000A1CC2" w:rsidRDefault="00CB1CBF" w:rsidP="00CB1CBF">
      <w:pPr>
        <w:pStyle w:val="AERtitle1"/>
      </w:pPr>
      <w:r>
        <w:t xml:space="preserve">    2013 revised charges</w:t>
      </w:r>
    </w:p>
    <w:p w:rsidR="000A1CC2" w:rsidRDefault="000A1CC2" w:rsidP="000A1CC2">
      <w:pPr>
        <w:pStyle w:val="AERtitle1"/>
      </w:pPr>
    </w:p>
    <w:p w:rsidR="000A1CC2" w:rsidRDefault="000A1CC2" w:rsidP="000A1CC2">
      <w:pPr>
        <w:pStyle w:val="AERtitle1"/>
      </w:pPr>
    </w:p>
    <w:p w:rsidR="000A1CC2" w:rsidRDefault="000A1CC2" w:rsidP="000A1CC2">
      <w:pPr>
        <w:pStyle w:val="AERtitle1"/>
      </w:pPr>
    </w:p>
    <w:p w:rsidR="00AF3E95" w:rsidRDefault="00CB1CBF" w:rsidP="000B15CA">
      <w:pPr>
        <w:pStyle w:val="AERtitle2"/>
      </w:pPr>
      <w:r>
        <w:t xml:space="preserve">October 2012 </w:t>
      </w:r>
    </w:p>
    <w:p w:rsidR="000B15CA" w:rsidRDefault="000B15CA" w:rsidP="000B15CA">
      <w:pPr>
        <w:pStyle w:val="AERtitle2"/>
      </w:pPr>
    </w:p>
    <w:p w:rsidR="000B15CA" w:rsidRDefault="000B15CA" w:rsidP="000B15CA">
      <w:pPr>
        <w:pStyle w:val="AERtitle2"/>
      </w:pPr>
    </w:p>
    <w:p w:rsidR="000B15CA" w:rsidRDefault="000B15CA" w:rsidP="000B15CA">
      <w:pPr>
        <w:pStyle w:val="AERtitle2"/>
      </w:pPr>
    </w:p>
    <w:p w:rsidR="000B15CA" w:rsidRDefault="000B15CA" w:rsidP="000B15CA">
      <w:pPr>
        <w:pStyle w:val="AERbodytextnospace"/>
      </w:pPr>
    </w:p>
    <w:p w:rsidR="000B15CA" w:rsidRDefault="000B15CA" w:rsidP="000B15CA">
      <w:pPr>
        <w:pStyle w:val="AERbodytextnospace"/>
      </w:pPr>
    </w:p>
    <w:p w:rsidR="000B15CA" w:rsidRDefault="000B15CA" w:rsidP="000B15CA">
      <w:pPr>
        <w:pStyle w:val="AERbodytextnospace"/>
      </w:pPr>
    </w:p>
    <w:p w:rsidR="000B15CA" w:rsidRDefault="000B15CA" w:rsidP="000B15CA">
      <w:pPr>
        <w:pStyle w:val="AERbodytextnospace"/>
      </w:pPr>
    </w:p>
    <w:p w:rsidR="000B15CA" w:rsidRDefault="000B15CA" w:rsidP="000B15CA">
      <w:pPr>
        <w:pStyle w:val="AERbodytextnospace"/>
      </w:pPr>
    </w:p>
    <w:p w:rsidR="000B15CA" w:rsidRDefault="000B15CA" w:rsidP="000B15CA">
      <w:pPr>
        <w:pStyle w:val="AERbodytextnospace"/>
      </w:pPr>
    </w:p>
    <w:p w:rsidR="00CB1CBF" w:rsidRPr="00F6235D" w:rsidRDefault="00CB1CBF" w:rsidP="003E107E">
      <w:pPr>
        <w:pStyle w:val="Caption"/>
      </w:pPr>
      <w:r w:rsidRPr="00F6235D">
        <w:t xml:space="preserve">© Commonwealth of Australia </w:t>
      </w:r>
      <w:r>
        <w:t>[</w:t>
      </w:r>
      <w:r w:rsidRPr="00F6235D">
        <w:t>20</w:t>
      </w:r>
      <w:r>
        <w:t xml:space="preserve">12] </w:t>
      </w:r>
    </w:p>
    <w:p w:rsidR="00CB1CBF" w:rsidRPr="00F6235D" w:rsidRDefault="00CB1CBF" w:rsidP="00CB1CBF">
      <w:pPr>
        <w:pStyle w:val="AERbodytext"/>
        <w:numPr>
          <w:ilvl w:val="0"/>
          <w:numId w:val="13"/>
        </w:numPr>
      </w:pPr>
      <w:r w:rsidRPr="00F6235D">
        <w:t xml:space="preserve">This work is copyright. Apart from any use permitted by the Copyright Act 1968, no part may be reproduced without permission of the Australian Competition and Consumer Commission. Requests and inquiries concerning reproduction and rights should be addressed to the Director Publishing, Australian Competition and Consumer Commission, GPO Box 3131, </w:t>
      </w:r>
      <w:smartTag w:uri="urn:schemas-microsoft-com:office:smarttags" w:element="City">
        <w:smartTag w:uri="urn:schemas-microsoft-com:office:smarttags" w:element="place">
          <w:r w:rsidRPr="00F6235D">
            <w:t>Canberra</w:t>
          </w:r>
        </w:smartTag>
      </w:smartTag>
      <w:r w:rsidRPr="00F6235D">
        <w:t xml:space="preserve"> ACT 2601.</w:t>
      </w:r>
    </w:p>
    <w:p w:rsidR="00CB1CBF" w:rsidRDefault="00CB1CBF" w:rsidP="00CB1CBF">
      <w:pPr>
        <w:pStyle w:val="AERbodytext"/>
        <w:numPr>
          <w:ilvl w:val="0"/>
          <w:numId w:val="13"/>
        </w:numPr>
      </w:pPr>
      <w:r>
        <w:t>Inquiries about these guidelines should be addressed to:</w:t>
      </w:r>
    </w:p>
    <w:p w:rsidR="00CB1CBF" w:rsidRDefault="00CB1CBF" w:rsidP="00CB1CBF">
      <w:pPr>
        <w:pStyle w:val="AERbodytext"/>
        <w:numPr>
          <w:ilvl w:val="0"/>
          <w:numId w:val="13"/>
        </w:numPr>
      </w:pPr>
      <w:r>
        <w:t>Australian Energy Regulator</w:t>
      </w:r>
    </w:p>
    <w:p w:rsidR="003E107E" w:rsidRDefault="00CB1CBF" w:rsidP="003E107E">
      <w:pPr>
        <w:pStyle w:val="AERbodytext"/>
        <w:numPr>
          <w:ilvl w:val="0"/>
          <w:numId w:val="13"/>
        </w:numPr>
      </w:pPr>
      <w:r>
        <w:t>GPO Box 520</w:t>
      </w:r>
    </w:p>
    <w:p w:rsidR="00CB1CBF" w:rsidRDefault="00CB1CBF" w:rsidP="003E107E">
      <w:pPr>
        <w:pStyle w:val="AERbodytext"/>
        <w:numPr>
          <w:ilvl w:val="0"/>
          <w:numId w:val="13"/>
        </w:numPr>
      </w:pPr>
      <w:r>
        <w:t>Melbourne  Vic  3001</w:t>
      </w:r>
    </w:p>
    <w:p w:rsidR="00CB1CBF" w:rsidRDefault="00CB1CBF" w:rsidP="00CB1CBF">
      <w:pPr>
        <w:pStyle w:val="AERbodytext"/>
        <w:numPr>
          <w:ilvl w:val="0"/>
          <w:numId w:val="13"/>
        </w:numPr>
      </w:pPr>
      <w:r>
        <w:t>Tel: (03) 9290 1444</w:t>
      </w:r>
    </w:p>
    <w:p w:rsidR="00CB1CBF" w:rsidRDefault="00CB1CBF" w:rsidP="00CB1CBF">
      <w:pPr>
        <w:pStyle w:val="AERbodytext"/>
        <w:numPr>
          <w:ilvl w:val="0"/>
          <w:numId w:val="13"/>
        </w:numPr>
      </w:pPr>
      <w:r>
        <w:t>Fax: (03) 9290 1457</w:t>
      </w:r>
    </w:p>
    <w:p w:rsidR="00CB1CBF" w:rsidRDefault="00CB1CBF" w:rsidP="00CB1CBF">
      <w:pPr>
        <w:pStyle w:val="AERbodytext"/>
        <w:numPr>
          <w:ilvl w:val="0"/>
          <w:numId w:val="13"/>
        </w:numPr>
      </w:pPr>
      <w:r>
        <w:t xml:space="preserve">Email: </w:t>
      </w:r>
      <w:hyperlink r:id="rId9" w:history="1">
        <w:r w:rsidRPr="003E184A">
          <w:rPr>
            <w:rStyle w:val="Hyperlink"/>
          </w:rPr>
          <w:t>AERInquiry@aer.gov.au</w:t>
        </w:r>
      </w:hyperlink>
    </w:p>
    <w:p w:rsidR="00CB1CBF" w:rsidRPr="00CB1CBF" w:rsidRDefault="00CB1CBF" w:rsidP="00CB1CBF">
      <w:pPr>
        <w:pStyle w:val="AERbodytext"/>
        <w:numPr>
          <w:ilvl w:val="0"/>
          <w:numId w:val="13"/>
        </w:numPr>
      </w:pPr>
    </w:p>
    <w:p w:rsidR="00CB1CBF" w:rsidRDefault="00CB1CBF" w:rsidP="00CB1CBF">
      <w:pPr>
        <w:pStyle w:val="AERbodytext"/>
        <w:numPr>
          <w:ilvl w:val="0"/>
          <w:numId w:val="13"/>
        </w:numPr>
      </w:pPr>
      <w:r>
        <w:t>AER reference:   [49718</w:t>
      </w:r>
      <w:r w:rsidR="00C53533">
        <w:t>/</w:t>
      </w:r>
      <w:r w:rsidR="00C53533" w:rsidRPr="00C53533">
        <w:t>D12/162863</w:t>
      </w:r>
      <w:r>
        <w:t xml:space="preserve">]     </w:t>
      </w:r>
    </w:p>
    <w:p w:rsidR="00CB1CBF" w:rsidRDefault="00CB1CBF" w:rsidP="003E107E">
      <w:pPr>
        <w:pStyle w:val="Caption"/>
      </w:pPr>
      <w:r>
        <w:t xml:space="preserve">Amendment record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2"/>
        <w:gridCol w:w="2843"/>
        <w:gridCol w:w="2843"/>
      </w:tblGrid>
      <w:tr w:rsidR="00CB1CBF" w:rsidTr="00CB1CBF">
        <w:tc>
          <w:tcPr>
            <w:tcW w:w="2842" w:type="dxa"/>
          </w:tcPr>
          <w:p w:rsidR="00CB1CBF" w:rsidRPr="003E107E" w:rsidRDefault="00CB1CBF" w:rsidP="003E107E">
            <w:pPr>
              <w:pStyle w:val="AERtablesource"/>
            </w:pPr>
            <w:r w:rsidRPr="003E107E">
              <w:t>Version</w:t>
            </w:r>
          </w:p>
        </w:tc>
        <w:tc>
          <w:tcPr>
            <w:tcW w:w="2843" w:type="dxa"/>
          </w:tcPr>
          <w:p w:rsidR="00CB1CBF" w:rsidRPr="003E107E" w:rsidRDefault="00CB1CBF" w:rsidP="003E107E">
            <w:pPr>
              <w:pStyle w:val="AERtablesource"/>
            </w:pPr>
            <w:r w:rsidRPr="003E107E">
              <w:t>Date</w:t>
            </w:r>
          </w:p>
        </w:tc>
        <w:tc>
          <w:tcPr>
            <w:tcW w:w="2843" w:type="dxa"/>
          </w:tcPr>
          <w:p w:rsidR="00CB1CBF" w:rsidRPr="003E107E" w:rsidRDefault="00CB1CBF" w:rsidP="003E107E">
            <w:pPr>
              <w:pStyle w:val="AERtablesource"/>
            </w:pPr>
            <w:r w:rsidRPr="003E107E">
              <w:t>Pages</w:t>
            </w:r>
          </w:p>
        </w:tc>
      </w:tr>
      <w:tr w:rsidR="00CB1CBF" w:rsidTr="00CB1CBF">
        <w:tc>
          <w:tcPr>
            <w:tcW w:w="2842" w:type="dxa"/>
          </w:tcPr>
          <w:p w:rsidR="00CB1CBF" w:rsidRDefault="00CB1CBF" w:rsidP="003E107E">
            <w:pPr>
              <w:pStyle w:val="AERtabletextleft"/>
            </w:pPr>
            <w:r>
              <w:t>1</w:t>
            </w:r>
          </w:p>
        </w:tc>
        <w:tc>
          <w:tcPr>
            <w:tcW w:w="2843" w:type="dxa"/>
          </w:tcPr>
          <w:p w:rsidR="00CB1CBF" w:rsidRDefault="00CB1CBF" w:rsidP="003E107E">
            <w:pPr>
              <w:pStyle w:val="AERtabletextleft"/>
            </w:pPr>
            <w:r>
              <w:t xml:space="preserve">31 October 2012 </w:t>
            </w:r>
          </w:p>
        </w:tc>
        <w:tc>
          <w:tcPr>
            <w:tcW w:w="2843" w:type="dxa"/>
          </w:tcPr>
          <w:p w:rsidR="00CB1CBF" w:rsidRDefault="00581459" w:rsidP="003E107E">
            <w:pPr>
              <w:pStyle w:val="AERtabletextleft"/>
            </w:pPr>
            <w:r>
              <w:t>8</w:t>
            </w:r>
          </w:p>
        </w:tc>
      </w:tr>
      <w:tr w:rsidR="00CB1CBF" w:rsidTr="00CB1CBF">
        <w:tc>
          <w:tcPr>
            <w:tcW w:w="2842" w:type="dxa"/>
          </w:tcPr>
          <w:p w:rsidR="00CB1CBF" w:rsidRDefault="00CB1CBF" w:rsidP="003E107E">
            <w:pPr>
              <w:pStyle w:val="AERtabletextleft"/>
            </w:pPr>
          </w:p>
        </w:tc>
        <w:tc>
          <w:tcPr>
            <w:tcW w:w="2843" w:type="dxa"/>
          </w:tcPr>
          <w:p w:rsidR="00CB1CBF" w:rsidRDefault="00CB1CBF" w:rsidP="003E107E">
            <w:pPr>
              <w:pStyle w:val="AERtabletextleft"/>
            </w:pPr>
          </w:p>
        </w:tc>
        <w:tc>
          <w:tcPr>
            <w:tcW w:w="2843" w:type="dxa"/>
          </w:tcPr>
          <w:p w:rsidR="00CB1CBF" w:rsidRDefault="00CB1CBF" w:rsidP="003E107E">
            <w:pPr>
              <w:pStyle w:val="AERtabletextleft"/>
            </w:pPr>
          </w:p>
        </w:tc>
      </w:tr>
    </w:tbl>
    <w:p w:rsidR="00CB1CBF" w:rsidRDefault="00CB1CBF" w:rsidP="00CB1CBF">
      <w:pPr>
        <w:pStyle w:val="AERbodytext"/>
        <w:numPr>
          <w:ilvl w:val="0"/>
          <w:numId w:val="13"/>
        </w:numPr>
      </w:pPr>
    </w:p>
    <w:p w:rsidR="000B15CA" w:rsidRDefault="000B15CA" w:rsidP="000B15CA">
      <w:pPr>
        <w:pStyle w:val="AERbodytextnospace"/>
      </w:pPr>
    </w:p>
    <w:p w:rsidR="000B15CA" w:rsidRDefault="000B15CA" w:rsidP="000B15CA">
      <w:pPr>
        <w:pStyle w:val="AERbodytextnospace"/>
      </w:pPr>
    </w:p>
    <w:p w:rsidR="000B15CA" w:rsidRDefault="000B15CA" w:rsidP="000B15CA">
      <w:pPr>
        <w:pStyle w:val="AERbodytextnospace"/>
      </w:pPr>
    </w:p>
    <w:p w:rsidR="00AF3E95" w:rsidRDefault="00AF3E95" w:rsidP="0037652C">
      <w:pPr>
        <w:pStyle w:val="UnnumberedHeading"/>
        <w:numPr>
          <w:ilvl w:val="0"/>
          <w:numId w:val="2"/>
        </w:numPr>
      </w:pPr>
      <w:bookmarkStart w:id="0" w:name="_Toc340057626"/>
      <w:r>
        <w:lastRenderedPageBreak/>
        <w:t>Contents</w:t>
      </w:r>
      <w:bookmarkEnd w:id="0"/>
    </w:p>
    <w:p w:rsidR="00B545BE" w:rsidRDefault="00155BB5" w:rsidP="003E107E">
      <w:pPr>
        <w:pStyle w:val="TOC1"/>
        <w:rPr>
          <w:rFonts w:asciiTheme="minorHAnsi" w:eastAsiaTheme="minorEastAsia" w:hAnsiTheme="minorHAnsi" w:cstheme="minorBidi"/>
          <w:sz w:val="22"/>
          <w:szCs w:val="22"/>
          <w:lang w:eastAsia="en-AU"/>
        </w:rPr>
      </w:pPr>
      <w:r w:rsidRPr="00155BB5">
        <w:fldChar w:fldCharType="begin"/>
      </w:r>
      <w:r w:rsidR="00AF3E95">
        <w:instrText xml:space="preserve"> TOC \o "1-2" \h \z \u \t "Heading 7,1,Heading 8,2" </w:instrText>
      </w:r>
      <w:r w:rsidRPr="00155BB5">
        <w:fldChar w:fldCharType="separate"/>
      </w:r>
      <w:hyperlink w:anchor="_Toc340057626" w:history="1">
        <w:r w:rsidR="00B545BE" w:rsidRPr="00893D51">
          <w:rPr>
            <w:rStyle w:val="Hyperlink"/>
          </w:rPr>
          <w:t>Contents</w:t>
        </w:r>
        <w:r w:rsidR="00B545BE">
          <w:rPr>
            <w:webHidden/>
          </w:rPr>
          <w:tab/>
        </w:r>
        <w:r>
          <w:rPr>
            <w:webHidden/>
          </w:rPr>
          <w:fldChar w:fldCharType="begin"/>
        </w:r>
        <w:r w:rsidR="00B545BE">
          <w:rPr>
            <w:webHidden/>
          </w:rPr>
          <w:instrText xml:space="preserve"> PAGEREF _Toc340057626 \h </w:instrText>
        </w:r>
        <w:r>
          <w:rPr>
            <w:webHidden/>
          </w:rPr>
        </w:r>
        <w:r>
          <w:rPr>
            <w:webHidden/>
          </w:rPr>
          <w:fldChar w:fldCharType="separate"/>
        </w:r>
        <w:r w:rsidR="0029670E">
          <w:rPr>
            <w:webHidden/>
          </w:rPr>
          <w:t>3</w:t>
        </w:r>
        <w:r>
          <w:rPr>
            <w:webHidden/>
          </w:rPr>
          <w:fldChar w:fldCharType="end"/>
        </w:r>
      </w:hyperlink>
    </w:p>
    <w:p w:rsidR="00B545BE" w:rsidRDefault="00155BB5">
      <w:pPr>
        <w:pStyle w:val="TOC1"/>
        <w:tabs>
          <w:tab w:val="left" w:pos="400"/>
        </w:tabs>
        <w:rPr>
          <w:rFonts w:asciiTheme="minorHAnsi" w:eastAsiaTheme="minorEastAsia" w:hAnsiTheme="minorHAnsi" w:cstheme="minorBidi"/>
          <w:b w:val="0"/>
          <w:bCs w:val="0"/>
          <w:sz w:val="22"/>
          <w:szCs w:val="22"/>
          <w:lang w:eastAsia="en-AU"/>
        </w:rPr>
      </w:pPr>
      <w:hyperlink w:anchor="_Toc340057627" w:history="1">
        <w:r w:rsidR="00B545BE" w:rsidRPr="00893D51">
          <w:rPr>
            <w:rStyle w:val="Hyperlink"/>
          </w:rPr>
          <w:t>1</w:t>
        </w:r>
        <w:r w:rsidR="00B545BE">
          <w:rPr>
            <w:rFonts w:asciiTheme="minorHAnsi" w:eastAsiaTheme="minorEastAsia" w:hAnsiTheme="minorHAnsi" w:cstheme="minorBidi"/>
            <w:b w:val="0"/>
            <w:bCs w:val="0"/>
            <w:sz w:val="22"/>
            <w:szCs w:val="22"/>
            <w:lang w:eastAsia="en-AU"/>
          </w:rPr>
          <w:tab/>
        </w:r>
        <w:r w:rsidR="00B545BE" w:rsidRPr="00893D51">
          <w:rPr>
            <w:rStyle w:val="Hyperlink"/>
          </w:rPr>
          <w:t>Summary</w:t>
        </w:r>
        <w:r w:rsidR="00B545BE">
          <w:rPr>
            <w:webHidden/>
          </w:rPr>
          <w:tab/>
        </w:r>
        <w:r>
          <w:rPr>
            <w:webHidden/>
          </w:rPr>
          <w:fldChar w:fldCharType="begin"/>
        </w:r>
        <w:r w:rsidR="00B545BE">
          <w:rPr>
            <w:webHidden/>
          </w:rPr>
          <w:instrText xml:space="preserve"> PAGEREF _Toc340057627 \h </w:instrText>
        </w:r>
        <w:r>
          <w:rPr>
            <w:webHidden/>
          </w:rPr>
        </w:r>
        <w:r>
          <w:rPr>
            <w:webHidden/>
          </w:rPr>
          <w:fldChar w:fldCharType="separate"/>
        </w:r>
        <w:r w:rsidR="0029670E">
          <w:rPr>
            <w:webHidden/>
          </w:rPr>
          <w:t>4</w:t>
        </w:r>
        <w:r>
          <w:rPr>
            <w:webHidden/>
          </w:rPr>
          <w:fldChar w:fldCharType="end"/>
        </w:r>
      </w:hyperlink>
    </w:p>
    <w:p w:rsidR="00B545BE" w:rsidRDefault="00155BB5">
      <w:pPr>
        <w:pStyle w:val="TOC1"/>
        <w:tabs>
          <w:tab w:val="left" w:pos="400"/>
        </w:tabs>
        <w:rPr>
          <w:rFonts w:asciiTheme="minorHAnsi" w:eastAsiaTheme="minorEastAsia" w:hAnsiTheme="minorHAnsi" w:cstheme="minorBidi"/>
          <w:b w:val="0"/>
          <w:bCs w:val="0"/>
          <w:sz w:val="22"/>
          <w:szCs w:val="22"/>
          <w:lang w:eastAsia="en-AU"/>
        </w:rPr>
      </w:pPr>
      <w:hyperlink w:anchor="_Toc340057628" w:history="1">
        <w:r w:rsidR="00B545BE" w:rsidRPr="00893D51">
          <w:rPr>
            <w:rStyle w:val="Hyperlink"/>
          </w:rPr>
          <w:t>2</w:t>
        </w:r>
        <w:r w:rsidR="00B545BE">
          <w:rPr>
            <w:rFonts w:asciiTheme="minorHAnsi" w:eastAsiaTheme="minorEastAsia" w:hAnsiTheme="minorHAnsi" w:cstheme="minorBidi"/>
            <w:b w:val="0"/>
            <w:bCs w:val="0"/>
            <w:sz w:val="22"/>
            <w:szCs w:val="22"/>
            <w:lang w:eastAsia="en-AU"/>
          </w:rPr>
          <w:tab/>
        </w:r>
        <w:r w:rsidR="00B545BE" w:rsidRPr="00893D51">
          <w:rPr>
            <w:rStyle w:val="Hyperlink"/>
          </w:rPr>
          <w:t>Key findings</w:t>
        </w:r>
        <w:r w:rsidR="00B545BE">
          <w:rPr>
            <w:webHidden/>
          </w:rPr>
          <w:tab/>
        </w:r>
        <w:r>
          <w:rPr>
            <w:webHidden/>
          </w:rPr>
          <w:fldChar w:fldCharType="begin"/>
        </w:r>
        <w:r w:rsidR="00B545BE">
          <w:rPr>
            <w:webHidden/>
          </w:rPr>
          <w:instrText xml:space="preserve"> PAGEREF _Toc340057628 \h </w:instrText>
        </w:r>
        <w:r>
          <w:rPr>
            <w:webHidden/>
          </w:rPr>
        </w:r>
        <w:r>
          <w:rPr>
            <w:webHidden/>
          </w:rPr>
          <w:fldChar w:fldCharType="separate"/>
        </w:r>
        <w:r w:rsidR="0029670E">
          <w:rPr>
            <w:webHidden/>
          </w:rPr>
          <w:t>5</w:t>
        </w:r>
        <w:r>
          <w:rPr>
            <w:webHidden/>
          </w:rPr>
          <w:fldChar w:fldCharType="end"/>
        </w:r>
      </w:hyperlink>
    </w:p>
    <w:p w:rsidR="00B545BE" w:rsidRDefault="00155BB5">
      <w:pPr>
        <w:pStyle w:val="TOC1"/>
        <w:tabs>
          <w:tab w:val="left" w:pos="400"/>
        </w:tabs>
        <w:rPr>
          <w:rFonts w:asciiTheme="minorHAnsi" w:eastAsiaTheme="minorEastAsia" w:hAnsiTheme="minorHAnsi" w:cstheme="minorBidi"/>
          <w:b w:val="0"/>
          <w:bCs w:val="0"/>
          <w:sz w:val="22"/>
          <w:szCs w:val="22"/>
          <w:lang w:eastAsia="en-AU"/>
        </w:rPr>
      </w:pPr>
      <w:hyperlink w:anchor="_Toc340057629" w:history="1">
        <w:r w:rsidR="00B545BE" w:rsidRPr="00893D51">
          <w:rPr>
            <w:rStyle w:val="Hyperlink"/>
          </w:rPr>
          <w:t>3</w:t>
        </w:r>
        <w:r w:rsidR="00B545BE">
          <w:rPr>
            <w:rFonts w:asciiTheme="minorHAnsi" w:eastAsiaTheme="minorEastAsia" w:hAnsiTheme="minorHAnsi" w:cstheme="minorBidi"/>
            <w:b w:val="0"/>
            <w:bCs w:val="0"/>
            <w:sz w:val="22"/>
            <w:szCs w:val="22"/>
            <w:lang w:eastAsia="en-AU"/>
          </w:rPr>
          <w:tab/>
        </w:r>
        <w:r w:rsidR="00B545BE" w:rsidRPr="00893D51">
          <w:rPr>
            <w:rStyle w:val="Hyperlink"/>
          </w:rPr>
          <w:t>Legislative framework</w:t>
        </w:r>
        <w:r w:rsidR="00B545BE">
          <w:rPr>
            <w:webHidden/>
          </w:rPr>
          <w:tab/>
        </w:r>
        <w:r>
          <w:rPr>
            <w:webHidden/>
          </w:rPr>
          <w:fldChar w:fldCharType="begin"/>
        </w:r>
        <w:r w:rsidR="00B545BE">
          <w:rPr>
            <w:webHidden/>
          </w:rPr>
          <w:instrText xml:space="preserve"> PAGEREF _Toc340057629 \h </w:instrText>
        </w:r>
        <w:r>
          <w:rPr>
            <w:webHidden/>
          </w:rPr>
        </w:r>
        <w:r>
          <w:rPr>
            <w:webHidden/>
          </w:rPr>
          <w:fldChar w:fldCharType="separate"/>
        </w:r>
        <w:r w:rsidR="0029670E">
          <w:rPr>
            <w:webHidden/>
          </w:rPr>
          <w:t>6</w:t>
        </w:r>
        <w:r>
          <w:rPr>
            <w:webHidden/>
          </w:rPr>
          <w:fldChar w:fldCharType="end"/>
        </w:r>
      </w:hyperlink>
    </w:p>
    <w:p w:rsidR="00B545BE" w:rsidRDefault="00155BB5">
      <w:pPr>
        <w:pStyle w:val="TOC1"/>
        <w:tabs>
          <w:tab w:val="left" w:pos="400"/>
        </w:tabs>
        <w:rPr>
          <w:rFonts w:asciiTheme="minorHAnsi" w:eastAsiaTheme="minorEastAsia" w:hAnsiTheme="minorHAnsi" w:cstheme="minorBidi"/>
          <w:b w:val="0"/>
          <w:bCs w:val="0"/>
          <w:sz w:val="22"/>
          <w:szCs w:val="22"/>
          <w:lang w:eastAsia="en-AU"/>
        </w:rPr>
      </w:pPr>
      <w:hyperlink w:anchor="_Toc340057630" w:history="1">
        <w:r w:rsidR="00B545BE" w:rsidRPr="00893D51">
          <w:rPr>
            <w:rStyle w:val="Hyperlink"/>
          </w:rPr>
          <w:t>4</w:t>
        </w:r>
        <w:r w:rsidR="00B545BE">
          <w:rPr>
            <w:rFonts w:asciiTheme="minorHAnsi" w:eastAsiaTheme="minorEastAsia" w:hAnsiTheme="minorHAnsi" w:cstheme="minorBidi"/>
            <w:b w:val="0"/>
            <w:bCs w:val="0"/>
            <w:sz w:val="22"/>
            <w:szCs w:val="22"/>
            <w:lang w:eastAsia="en-AU"/>
          </w:rPr>
          <w:tab/>
        </w:r>
        <w:r w:rsidR="00B545BE" w:rsidRPr="00893D51">
          <w:rPr>
            <w:rStyle w:val="Hyperlink"/>
          </w:rPr>
          <w:t>Approved 2013 metering charges</w:t>
        </w:r>
        <w:r w:rsidR="00B545BE">
          <w:rPr>
            <w:webHidden/>
          </w:rPr>
          <w:tab/>
        </w:r>
        <w:r>
          <w:rPr>
            <w:webHidden/>
          </w:rPr>
          <w:fldChar w:fldCharType="begin"/>
        </w:r>
        <w:r w:rsidR="00B545BE">
          <w:rPr>
            <w:webHidden/>
          </w:rPr>
          <w:instrText xml:space="preserve"> PAGEREF _Toc340057630 \h </w:instrText>
        </w:r>
        <w:r>
          <w:rPr>
            <w:webHidden/>
          </w:rPr>
        </w:r>
        <w:r>
          <w:rPr>
            <w:webHidden/>
          </w:rPr>
          <w:fldChar w:fldCharType="separate"/>
        </w:r>
        <w:r w:rsidR="0029670E">
          <w:rPr>
            <w:webHidden/>
          </w:rPr>
          <w:t>8</w:t>
        </w:r>
        <w:r>
          <w:rPr>
            <w:webHidden/>
          </w:rPr>
          <w:fldChar w:fldCharType="end"/>
        </w:r>
      </w:hyperlink>
    </w:p>
    <w:p w:rsidR="00AF3E95" w:rsidRPr="00AF3E95" w:rsidRDefault="00155BB5" w:rsidP="00AF3E95">
      <w:pPr>
        <w:pStyle w:val="AERbodytext"/>
      </w:pPr>
      <w:r>
        <w:fldChar w:fldCharType="end"/>
      </w:r>
    </w:p>
    <w:p w:rsidR="009F7CE4" w:rsidRDefault="009F7CE4" w:rsidP="009F7CE4">
      <w:pPr>
        <w:pStyle w:val="AERbodytext"/>
        <w:numPr>
          <w:ilvl w:val="0"/>
          <w:numId w:val="0"/>
        </w:numPr>
      </w:pPr>
    </w:p>
    <w:p w:rsidR="00E807DA" w:rsidRDefault="00F13460" w:rsidP="0037652C">
      <w:pPr>
        <w:pStyle w:val="Heading1"/>
        <w:numPr>
          <w:ilvl w:val="1"/>
          <w:numId w:val="2"/>
        </w:numPr>
      </w:pPr>
      <w:bookmarkStart w:id="1" w:name="_Toc340057627"/>
      <w:r w:rsidRPr="00581459">
        <w:lastRenderedPageBreak/>
        <w:t>Summary</w:t>
      </w:r>
      <w:bookmarkEnd w:id="1"/>
    </w:p>
    <w:p w:rsidR="00F13460" w:rsidRDefault="00F13460" w:rsidP="00F13460">
      <w:pPr>
        <w:pStyle w:val="AERbodytext"/>
        <w:numPr>
          <w:ilvl w:val="0"/>
          <w:numId w:val="13"/>
        </w:numPr>
      </w:pPr>
      <w:r>
        <w:t>The Australian Energy Regulator (AER) has approved proposals by five licensed Victorian Distribution Network Service Providers (DNSPs) to revise their 2013 Advanced Metering Infrastructure (AMI) charges.</w:t>
      </w:r>
    </w:p>
    <w:p w:rsidR="00F13460" w:rsidRDefault="00F13460" w:rsidP="00F13460">
      <w:pPr>
        <w:pStyle w:val="AERbodytext"/>
        <w:numPr>
          <w:ilvl w:val="0"/>
          <w:numId w:val="13"/>
        </w:numPr>
      </w:pPr>
      <w:r>
        <w:t xml:space="preserve">These charges are for metering infrastructure provided by </w:t>
      </w:r>
      <w:r w:rsidRPr="00AA27D6">
        <w:t>SP</w:t>
      </w:r>
      <w:r>
        <w:t>I Electricity Pty Ltd</w:t>
      </w:r>
      <w:r w:rsidRPr="00AA27D6">
        <w:t xml:space="preserve"> (SP </w:t>
      </w:r>
      <w:proofErr w:type="spellStart"/>
      <w:r w:rsidRPr="00AA27D6">
        <w:t>AusNet</w:t>
      </w:r>
      <w:proofErr w:type="spellEnd"/>
      <w:r w:rsidRPr="00AA27D6">
        <w:t>), United Energy</w:t>
      </w:r>
      <w:r>
        <w:t xml:space="preserve"> Distribution Pty Ltd (United Energy)</w:t>
      </w:r>
      <w:r w:rsidRPr="00AA27D6">
        <w:t xml:space="preserve">, </w:t>
      </w:r>
      <w:proofErr w:type="spellStart"/>
      <w:r w:rsidRPr="00AA27D6">
        <w:t>Jemena</w:t>
      </w:r>
      <w:proofErr w:type="spellEnd"/>
      <w:r w:rsidRPr="00AA27D6">
        <w:t xml:space="preserve"> </w:t>
      </w:r>
      <w:r>
        <w:t xml:space="preserve">Electricity Networks (VIC) Ltd </w:t>
      </w:r>
      <w:r w:rsidRPr="00AA27D6">
        <w:t xml:space="preserve">(JEN), </w:t>
      </w:r>
      <w:proofErr w:type="spellStart"/>
      <w:r w:rsidRPr="00AA27D6">
        <w:t>CitiPower</w:t>
      </w:r>
      <w:proofErr w:type="spellEnd"/>
      <w:r w:rsidRPr="00AA27D6">
        <w:t xml:space="preserve"> </w:t>
      </w:r>
      <w:r>
        <w:t>Pty (</w:t>
      </w:r>
      <w:proofErr w:type="spellStart"/>
      <w:r>
        <w:t>CitiPower</w:t>
      </w:r>
      <w:proofErr w:type="spellEnd"/>
      <w:r>
        <w:t xml:space="preserve">) </w:t>
      </w:r>
      <w:r w:rsidRPr="00AA27D6">
        <w:t xml:space="preserve">and </w:t>
      </w:r>
      <w:proofErr w:type="spellStart"/>
      <w:r w:rsidRPr="00AA27D6">
        <w:t>Powercor</w:t>
      </w:r>
      <w:proofErr w:type="spellEnd"/>
      <w:r>
        <w:t xml:space="preserve"> Australia Ltd (</w:t>
      </w:r>
      <w:proofErr w:type="spellStart"/>
      <w:r>
        <w:t>Powercor</w:t>
      </w:r>
      <w:proofErr w:type="spellEnd"/>
      <w:r>
        <w:t xml:space="preserve">) to small consumers in Victoria. More commonly this infrastructure is referred to as ‘smart metering’. </w:t>
      </w:r>
    </w:p>
    <w:p w:rsidR="00F13460" w:rsidRDefault="00F13460" w:rsidP="00F13460">
      <w:pPr>
        <w:pStyle w:val="AERbodytext"/>
        <w:numPr>
          <w:ilvl w:val="0"/>
          <w:numId w:val="13"/>
        </w:numPr>
      </w:pPr>
      <w:r>
        <w:t xml:space="preserve">The process for determining the AMI </w:t>
      </w:r>
      <w:proofErr w:type="gramStart"/>
      <w:r>
        <w:t>charges is</w:t>
      </w:r>
      <w:proofErr w:type="gramEnd"/>
      <w:r>
        <w:t xml:space="preserve"> set out in the </w:t>
      </w:r>
      <w:r w:rsidRPr="00F06473">
        <w:t xml:space="preserve">AMI Order in Council (the AMI OIC) made under the </w:t>
      </w:r>
      <w:r w:rsidRPr="00581459">
        <w:t>Electricity Industry Act 2000 (Vic)</w:t>
      </w:r>
      <w:r w:rsidRPr="00581459">
        <w:footnoteReference w:id="1"/>
      </w:r>
      <w:r>
        <w:t xml:space="preserve">. This process involves the AER establishing a budget for the rollout of smart meters to Victorians.  </w:t>
      </w:r>
    </w:p>
    <w:p w:rsidR="00F13460" w:rsidRDefault="00F13460" w:rsidP="00F13460">
      <w:pPr>
        <w:pStyle w:val="AERbodytext"/>
        <w:numPr>
          <w:ilvl w:val="0"/>
          <w:numId w:val="13"/>
        </w:numPr>
      </w:pPr>
      <w:r>
        <w:t>The 2013 charges for these services were originally forecast when the AER set the budgets for the 2012–2015 period in October 2011.This budget forecasted both capital and operating expenditure that each DNSP would be required to acquire and upgrade assets necessary for the AMI roll-out, such as expenditures on information technology (IT) and communications.</w:t>
      </w:r>
      <w:r w:rsidRPr="00A4500E">
        <w:rPr>
          <w:rStyle w:val="FootnoteReference"/>
        </w:rPr>
        <w:footnoteReference w:id="2"/>
      </w:r>
      <w:r>
        <w:t xml:space="preserve">  The AER also set out forecast AMI charges for each year of the 2012–15 budget </w:t>
      </w:r>
      <w:proofErr w:type="gramStart"/>
      <w:r>
        <w:t>period</w:t>
      </w:r>
      <w:proofErr w:type="gramEnd"/>
      <w:r>
        <w:t xml:space="preserve"> that would allow the DNSPs to fully recover the forecast expenditures by the end of the 2012–15 budget period.</w:t>
      </w:r>
    </w:p>
    <w:p w:rsidR="00F13460" w:rsidRDefault="00F13460" w:rsidP="00F13460">
      <w:pPr>
        <w:pStyle w:val="AERbodytext"/>
        <w:numPr>
          <w:ilvl w:val="0"/>
          <w:numId w:val="13"/>
        </w:numPr>
      </w:pPr>
      <w:r w:rsidRPr="00817394">
        <w:t xml:space="preserve">Because the AMI charges </w:t>
      </w:r>
      <w:r>
        <w:t>set</w:t>
      </w:r>
      <w:r w:rsidRPr="00817394">
        <w:t xml:space="preserve"> in the</w:t>
      </w:r>
      <w:r>
        <w:t xml:space="preserve"> 2011 final determination were </w:t>
      </w:r>
      <w:r w:rsidRPr="00817394">
        <w:t>based on forecast expenditures, the DNSPs are required to revise</w:t>
      </w:r>
      <w:r w:rsidRPr="00FA2F73">
        <w:t xml:space="preserve"> </w:t>
      </w:r>
      <w:r w:rsidRPr="000D2768">
        <w:t>the charges to apply in the next year based on</w:t>
      </w:r>
      <w:r>
        <w:t xml:space="preserve"> </w:t>
      </w:r>
      <w:r w:rsidRPr="00817394">
        <w:t xml:space="preserve">actual expenditures incurred and any forecast expenditure updates.  The AMI OIC requires the DNSPs to submit these “charges revision applications” to the AER by 31 August each year </w:t>
      </w:r>
      <w:r>
        <w:t>for</w:t>
      </w:r>
      <w:r w:rsidRPr="00817394">
        <w:t xml:space="preserve"> the budget period 2012–15. The AER is then required to make a determination on these applications by 31 October each year. </w:t>
      </w:r>
    </w:p>
    <w:p w:rsidR="00F13460" w:rsidRDefault="00F13460" w:rsidP="00F13460">
      <w:pPr>
        <w:pStyle w:val="AERbodytext"/>
        <w:numPr>
          <w:ilvl w:val="0"/>
          <w:numId w:val="13"/>
        </w:numPr>
      </w:pPr>
      <w:r>
        <w:t>For this period, the AER is required to accept the revisions proposed by the DNSPs if three criteria are met, namely that the expenditure is:</w:t>
      </w:r>
    </w:p>
    <w:p w:rsidR="00F13460" w:rsidRPr="00581459" w:rsidRDefault="00F13460" w:rsidP="00F13460">
      <w:pPr>
        <w:pStyle w:val="AERbulletlistfirststyle"/>
      </w:pPr>
      <w:r>
        <w:t xml:space="preserve">certified by an auditor </w:t>
      </w:r>
    </w:p>
    <w:p w:rsidR="00F13460" w:rsidRPr="00581459" w:rsidRDefault="00F13460" w:rsidP="00F13460">
      <w:pPr>
        <w:pStyle w:val="AERbulletlistfirststyle"/>
      </w:pPr>
      <w:r>
        <w:t>in relation to matters that are within the scope of the OIC</w:t>
      </w:r>
    </w:p>
    <w:p w:rsidR="00F13460" w:rsidRPr="00581459" w:rsidRDefault="00F13460" w:rsidP="00F13460">
      <w:pPr>
        <w:pStyle w:val="AERbulletlistfirststyle"/>
      </w:pPr>
      <w:proofErr w:type="gramStart"/>
      <w:r>
        <w:t>within</w:t>
      </w:r>
      <w:proofErr w:type="gramEnd"/>
      <w:r>
        <w:t xml:space="preserve"> 120 per cent of the budget. </w:t>
      </w:r>
    </w:p>
    <w:p w:rsidR="00F13460" w:rsidRDefault="00F13460" w:rsidP="00F13460">
      <w:pPr>
        <w:pStyle w:val="AERbodytext"/>
        <w:numPr>
          <w:ilvl w:val="0"/>
          <w:numId w:val="13"/>
        </w:numPr>
      </w:pPr>
      <w:r>
        <w:t xml:space="preserve">The AER considers that these three criteria have been met by all DNSPs. As such, the AER must approve the revisions as proposed. As set out in Section 4, these charges will apply for the period 1 January to 31 December 2013. </w:t>
      </w:r>
    </w:p>
    <w:p w:rsidR="00F13460" w:rsidRDefault="00F13460" w:rsidP="00F13460">
      <w:pPr>
        <w:pStyle w:val="Heading1"/>
        <w:numPr>
          <w:ilvl w:val="1"/>
          <w:numId w:val="2"/>
        </w:numPr>
      </w:pPr>
      <w:bookmarkStart w:id="2" w:name="_Toc337658634"/>
      <w:bookmarkStart w:id="3" w:name="_Toc340057628"/>
      <w:r w:rsidRPr="0065708D">
        <w:lastRenderedPageBreak/>
        <w:t>Key findings</w:t>
      </w:r>
      <w:bookmarkEnd w:id="2"/>
      <w:bookmarkEnd w:id="3"/>
    </w:p>
    <w:p w:rsidR="00F13460" w:rsidRPr="00A4500E" w:rsidRDefault="00F13460" w:rsidP="00F13460">
      <w:pPr>
        <w:pStyle w:val="AERbodytext"/>
        <w:numPr>
          <w:ilvl w:val="0"/>
          <w:numId w:val="13"/>
        </w:numPr>
      </w:pPr>
      <w:r w:rsidRPr="00A4500E">
        <w:t>The AER has assessed the Victorian DNSPs</w:t>
      </w:r>
      <w:r w:rsidRPr="00EE34C2">
        <w:t>’</w:t>
      </w:r>
      <w:r w:rsidRPr="00A4500E">
        <w:t xml:space="preserve"> charges </w:t>
      </w:r>
      <w:r>
        <w:t xml:space="preserve">revision </w:t>
      </w:r>
      <w:r w:rsidRPr="00A4500E">
        <w:t>applications in accordance with the AMI OIC and found that:</w:t>
      </w:r>
    </w:p>
    <w:p w:rsidR="00F13460" w:rsidRPr="00F13460" w:rsidRDefault="00F13460" w:rsidP="00F13460">
      <w:pPr>
        <w:pStyle w:val="AERbulletlistfirststyle"/>
      </w:pPr>
      <w:r w:rsidRPr="00A4500E">
        <w:t>all Victorian DNSPs incurred actual expenditure</w:t>
      </w:r>
      <w:r w:rsidRPr="00F13460">
        <w:t>s that met the requirements of the AMI OIC</w:t>
      </w:r>
    </w:p>
    <w:p w:rsidR="00F13460" w:rsidRPr="00F13460" w:rsidRDefault="00F13460" w:rsidP="00F13460">
      <w:pPr>
        <w:pStyle w:val="AERbulletlistfirststyle"/>
      </w:pPr>
      <w:proofErr w:type="gramStart"/>
      <w:r w:rsidRPr="00A4500E">
        <w:t>the</w:t>
      </w:r>
      <w:proofErr w:type="gramEnd"/>
      <w:r w:rsidRPr="00A4500E">
        <w:t xml:space="preserve"> 2013 metering charges proposed by the Victorian DNSPs are consistent with their actual expenditure and revised forecasts</w:t>
      </w:r>
      <w:r w:rsidRPr="00F13460">
        <w:t>.</w:t>
      </w:r>
    </w:p>
    <w:p w:rsidR="00F13460" w:rsidRDefault="00F13460" w:rsidP="001F787E">
      <w:pPr>
        <w:pStyle w:val="AERbodytext"/>
      </w:pPr>
      <w:r>
        <w:t>Under the OIC, as the AER has determined that the above criteria have been met, it must approve the revised charges proposed by the DNSPs.</w:t>
      </w:r>
      <w:r w:rsidRPr="00F13460">
        <w:rPr>
          <w:rStyle w:val="FootnoteReference"/>
        </w:rPr>
        <w:footnoteReference w:id="3"/>
      </w:r>
      <w:r w:rsidRPr="00F13460">
        <w:t xml:space="preserve"> </w:t>
      </w:r>
      <w:proofErr w:type="gramStart"/>
      <w:r w:rsidRPr="00F13460">
        <w:t>This</w:t>
      </w:r>
      <w:proofErr w:type="gramEnd"/>
      <w:r w:rsidRPr="00F13460">
        <w:t xml:space="preserve"> results in upward revisions to the forecast charges set in 2011. The higher 2013 AMI charges are attributable to the DNSPs spending more than their approved expenditure allowances in 2011. Some of the DNSPs’ total expenditures were close to 120 per cent of their approved budget. However, the AMI OIC allows the DNSPs to incur up to 120 per cent of their total expenditure budget for 2011. (The AMI OIC framework is outlined in section 3 of this report.) </w:t>
      </w:r>
    </w:p>
    <w:p w:rsidR="00F13460" w:rsidRPr="00F13460" w:rsidRDefault="00F13460" w:rsidP="001F787E">
      <w:pPr>
        <w:pStyle w:val="AERbodytext"/>
      </w:pPr>
      <w:r>
        <w:t>Based on an analysis of the expenditure by each DNSP, the AER found that most of the DNSPs have incurred higher 2011 expenditure due to:</w:t>
      </w:r>
    </w:p>
    <w:p w:rsidR="00F13460" w:rsidRPr="00F13460" w:rsidRDefault="00F13460" w:rsidP="00F13460">
      <w:pPr>
        <w:pStyle w:val="AERbulletlistfirststyle"/>
      </w:pPr>
      <w:r>
        <w:t>spending above their Information Technology (IT) and communications allowances;</w:t>
      </w:r>
    </w:p>
    <w:p w:rsidR="00F13460" w:rsidRPr="00F13460" w:rsidRDefault="00F13460" w:rsidP="00F13460">
      <w:pPr>
        <w:pStyle w:val="AERbulletlistfirststyle"/>
      </w:pPr>
      <w:proofErr w:type="gramStart"/>
      <w:r>
        <w:t>and</w:t>
      </w:r>
      <w:proofErr w:type="gramEnd"/>
      <w:r>
        <w:t xml:space="preserve"> unplanned expenditure on accumulation meters and manually read interval meters. </w:t>
      </w:r>
    </w:p>
    <w:p w:rsidR="00F13460" w:rsidRDefault="00F13460" w:rsidP="001F787E">
      <w:pPr>
        <w:pStyle w:val="AERbodytext"/>
      </w:pPr>
      <w:r>
        <w:t xml:space="preserve">The DNSPs have also fulfilled the other charges revision requirements by each submitting a signed audit report which certified that the actual 2011 expenditure is for activities within scope and has been incurred in the amount claimed. </w:t>
      </w:r>
    </w:p>
    <w:p w:rsidR="00F13460" w:rsidRPr="00F13460" w:rsidRDefault="00F13460" w:rsidP="001F787E">
      <w:pPr>
        <w:pStyle w:val="AERbodytext"/>
      </w:pPr>
      <w:r>
        <w:t xml:space="preserve">Therefore, the AER approves the proposed 2013 AMI Charges as set out in the DNSPs’ 2012 charges revision applications. The approved 2013 AMI charges are set out in section 4 of this decision. </w:t>
      </w:r>
    </w:p>
    <w:p w:rsidR="00F13460" w:rsidRDefault="00F13460" w:rsidP="00F13460">
      <w:pPr>
        <w:pStyle w:val="AERbulletlistfirststyle"/>
        <w:numPr>
          <w:ilvl w:val="0"/>
          <w:numId w:val="0"/>
        </w:numPr>
      </w:pPr>
    </w:p>
    <w:p w:rsidR="00F13460" w:rsidRPr="00F13460" w:rsidRDefault="00F13460" w:rsidP="00F13460">
      <w:pPr>
        <w:pStyle w:val="AERbodytext"/>
        <w:numPr>
          <w:ilvl w:val="0"/>
          <w:numId w:val="0"/>
        </w:numPr>
      </w:pPr>
    </w:p>
    <w:p w:rsidR="00F13460" w:rsidRDefault="00F13460" w:rsidP="00F13460">
      <w:pPr>
        <w:pStyle w:val="Heading1"/>
        <w:numPr>
          <w:ilvl w:val="1"/>
          <w:numId w:val="2"/>
        </w:numPr>
      </w:pPr>
      <w:bookmarkStart w:id="4" w:name="_Toc274849640"/>
      <w:bookmarkStart w:id="5" w:name="_Toc337658635"/>
      <w:bookmarkStart w:id="6" w:name="_Toc340057629"/>
      <w:r>
        <w:lastRenderedPageBreak/>
        <w:t>Legislative framework</w:t>
      </w:r>
      <w:bookmarkEnd w:id="4"/>
      <w:bookmarkEnd w:id="5"/>
      <w:bookmarkEnd w:id="6"/>
    </w:p>
    <w:p w:rsidR="00F13460" w:rsidRPr="00F13460" w:rsidRDefault="00F13460" w:rsidP="001F787E">
      <w:pPr>
        <w:pStyle w:val="AERbodytext"/>
      </w:pPr>
      <w:r>
        <w:t xml:space="preserve">Clause 5G.3 of the AMI OIC requires the AER to make a determination of the revised charges to apply by 31 October each year. </w:t>
      </w:r>
    </w:p>
    <w:p w:rsidR="00F13460" w:rsidRDefault="00F13460" w:rsidP="001F787E">
      <w:pPr>
        <w:pStyle w:val="AERbodytext"/>
      </w:pPr>
      <w:r>
        <w:t xml:space="preserve">Clause 5H.1 of the AMI OIC provides that amongst other things charges revision applications include actual AMI expenditure and revenue and contain an updated forecast of AMI expenditure and revenue for the remaining years of the relevant budget period. </w:t>
      </w:r>
    </w:p>
    <w:p w:rsidR="00F13460" w:rsidRDefault="00F13460" w:rsidP="001F787E">
      <w:pPr>
        <w:pStyle w:val="AERbodytext"/>
      </w:pPr>
      <w:r>
        <w:t>Charges revision applications must also be accompanied by an audit report that is consistent with clause 5.H2 of the AMI OIC, including</w:t>
      </w:r>
      <w:r w:rsidRPr="00086AEC">
        <w:t xml:space="preserve"> </w:t>
      </w:r>
      <w:r>
        <w:t xml:space="preserve">certifying that: </w:t>
      </w:r>
    </w:p>
    <w:p w:rsidR="00F13460" w:rsidRPr="00F13460" w:rsidRDefault="00F13460" w:rsidP="00F13460">
      <w:pPr>
        <w:pStyle w:val="AERbulletlistfirststyle"/>
      </w:pPr>
      <w:r>
        <w:t xml:space="preserve">the actual expenditure incurred is for activities within scope; and </w:t>
      </w:r>
    </w:p>
    <w:p w:rsidR="00F13460" w:rsidRPr="00F13460" w:rsidRDefault="00F13460" w:rsidP="00F13460">
      <w:pPr>
        <w:pStyle w:val="AERbulletlistfirststyle"/>
      </w:pPr>
      <w:proofErr w:type="gramStart"/>
      <w:r>
        <w:t>the</w:t>
      </w:r>
      <w:proofErr w:type="gramEnd"/>
      <w:r>
        <w:t xml:space="preserve"> actual expenditure incurred has been incurred in the amount claimed. </w:t>
      </w:r>
    </w:p>
    <w:p w:rsidR="00F13460" w:rsidRDefault="00F13460" w:rsidP="001F787E">
      <w:pPr>
        <w:pStyle w:val="AERbodytext"/>
      </w:pPr>
      <w:r>
        <w:t>Clause 5.I2 of the AMI OIC specifies how the AER must determine the building blocks in making a determination in response to a charges revision application. In particular, clause 5.I2 provides:</w:t>
      </w:r>
    </w:p>
    <w:p w:rsidR="00F13460" w:rsidRPr="00F13460" w:rsidRDefault="00F13460" w:rsidP="001348C1">
      <w:pPr>
        <w:pStyle w:val="AERbodytextindent1"/>
      </w:pPr>
      <w:r w:rsidRPr="00F13460">
        <w:t xml:space="preserve">5I.2 </w:t>
      </w:r>
      <w:proofErr w:type="gramStart"/>
      <w:r w:rsidRPr="00F13460">
        <w:t>In</w:t>
      </w:r>
      <w:proofErr w:type="gramEnd"/>
      <w:r w:rsidRPr="00F13460">
        <w:t xml:space="preserve"> determining the building blocks the Commission must:</w:t>
      </w:r>
    </w:p>
    <w:p w:rsidR="00F13460" w:rsidRPr="00F13460" w:rsidRDefault="00F13460" w:rsidP="001348C1">
      <w:pPr>
        <w:pStyle w:val="AERnumberedlist2second"/>
      </w:pPr>
      <w:r>
        <w:t xml:space="preserve">include actual capital expenditure and actual maintenance and operating expenditure for year t–1 where actual Total </w:t>
      </w:r>
      <w:proofErr w:type="spellStart"/>
      <w:r>
        <w:t>Opex</w:t>
      </w:r>
      <w:proofErr w:type="spellEnd"/>
      <w:r>
        <w:t xml:space="preserve"> and </w:t>
      </w:r>
      <w:proofErr w:type="spellStart"/>
      <w:r>
        <w:t>Capex</w:t>
      </w:r>
      <w:proofErr w:type="spellEnd"/>
      <w:r>
        <w:t xml:space="preserve"> for that year:</w:t>
      </w:r>
    </w:p>
    <w:p w:rsidR="00F13460" w:rsidRPr="00F13460" w:rsidRDefault="00F13460" w:rsidP="001348C1">
      <w:pPr>
        <w:pStyle w:val="AERnumberedlist2third"/>
      </w:pPr>
      <w:r>
        <w:t>is certified in an audit report under clause 5H.2;</w:t>
      </w:r>
    </w:p>
    <w:p w:rsidR="00F13460" w:rsidRPr="00F13460" w:rsidRDefault="00F13460" w:rsidP="00F13460">
      <w:pPr>
        <w:pStyle w:val="AERbodytextindent3"/>
      </w:pPr>
      <w:r w:rsidRPr="00F13460">
        <w:t>Note: An audit report provided for the purposes of this clause is not conclusive as to whether expenditure is for activities that are within scope.</w:t>
      </w:r>
    </w:p>
    <w:p w:rsidR="00F13460" w:rsidRPr="00F13460" w:rsidRDefault="00F13460" w:rsidP="001348C1">
      <w:pPr>
        <w:pStyle w:val="AERnumberedlist2third"/>
      </w:pPr>
      <w:r>
        <w:t>is for activities within scope at the time of commitment to or incurring of that expenditure; and</w:t>
      </w:r>
    </w:p>
    <w:p w:rsidR="00F13460" w:rsidRPr="00F13460" w:rsidRDefault="00F13460" w:rsidP="001348C1">
      <w:pPr>
        <w:pStyle w:val="AERnumberedlist2third"/>
      </w:pPr>
      <w:r>
        <w:t>in the case of the initial AMI budget period, is up to 120% of the Approved Budget for that year or in the case of the subsequent AMI budget period, is up to 110% of the Approved Budget for that year; and</w:t>
      </w:r>
    </w:p>
    <w:p w:rsidR="00F13460" w:rsidRDefault="00F13460" w:rsidP="001348C1">
      <w:pPr>
        <w:pStyle w:val="AERnumberedlist2second"/>
      </w:pPr>
      <w:proofErr w:type="gramStart"/>
      <w:r>
        <w:t>where</w:t>
      </w:r>
      <w:proofErr w:type="gramEnd"/>
      <w:r>
        <w:t xml:space="preserve"> year t–1 is the year commencing 1 January 2009 also include the expenditure determined pursuant to clause 5D.4.</w:t>
      </w:r>
    </w:p>
    <w:p w:rsidR="00F13460" w:rsidRPr="00F13460" w:rsidRDefault="00F13460" w:rsidP="00470746">
      <w:pPr>
        <w:pStyle w:val="AERbodytextindent2"/>
      </w:pPr>
      <w:r w:rsidRPr="00F13460">
        <w:t>Note: Clause 5D.4 provides for the making of a determination with respect to certain items of expenditure that have been incurred between 1 January 2006 and the Start Date.</w:t>
      </w:r>
    </w:p>
    <w:p w:rsidR="00F13460" w:rsidRDefault="00F13460" w:rsidP="001348C1">
      <w:pPr>
        <w:pStyle w:val="AERbodytext"/>
      </w:pPr>
      <w:r>
        <w:t>As such, in applying clause 5.I2 the AER is making an assessment of how much of the actual expenditure should be included in the building blocks used to determine charges. In making this assessment, the AER turns its mind to the following:</w:t>
      </w:r>
    </w:p>
    <w:p w:rsidR="00F13460" w:rsidRPr="00F13460" w:rsidRDefault="00F13460" w:rsidP="00F13460">
      <w:pPr>
        <w:pStyle w:val="AERbulletlistfirststyle"/>
      </w:pPr>
      <w:r>
        <w:t xml:space="preserve">whether the actual expenditure for </w:t>
      </w:r>
      <w:r w:rsidRPr="00F13460">
        <w:t xml:space="preserve">the period 1 January 2011 to 31 December 2011 is within the scope of activities allowed by the AMI OIC; </w:t>
      </w:r>
    </w:p>
    <w:p w:rsidR="00F13460" w:rsidRPr="00F13460" w:rsidRDefault="00F13460" w:rsidP="00F13460">
      <w:pPr>
        <w:pStyle w:val="AERbulletlistfirststyle"/>
      </w:pPr>
      <w:proofErr w:type="gramStart"/>
      <w:r>
        <w:t>and</w:t>
      </w:r>
      <w:proofErr w:type="gramEnd"/>
      <w:r>
        <w:t xml:space="preserve"> whether the expenditure is more than 120 per cent of budget expenditure approved by the AER (does not exceed the approved budget in the subsequent budget period). </w:t>
      </w:r>
    </w:p>
    <w:p w:rsidR="00F13460" w:rsidRDefault="00F13460" w:rsidP="00F13460"/>
    <w:p w:rsidR="00F13460" w:rsidRDefault="00F13460" w:rsidP="001348C1">
      <w:pPr>
        <w:pStyle w:val="AERbodytext"/>
      </w:pPr>
      <w:r>
        <w:lastRenderedPageBreak/>
        <w:t>If it is satisfied of these matters, the AER then must include this actual expenditure in determining charges in accordance with the building block model.</w:t>
      </w:r>
    </w:p>
    <w:p w:rsidR="00F13460" w:rsidRDefault="00F13460" w:rsidP="001348C1">
      <w:pPr>
        <w:pStyle w:val="AERbodytext"/>
      </w:pPr>
      <w:r>
        <w:t xml:space="preserve">If actual expenditure is greater than 120 per cent of the AER’s approved budget, then the AER must assess this expenditure excess. Clause 5I.5 of the AMI OIC provides for the AER to also include in the building blocks expenditure excess to the extent that it is prudent. </w:t>
      </w:r>
    </w:p>
    <w:p w:rsidR="00F13460" w:rsidRPr="0053308E" w:rsidRDefault="00F13460" w:rsidP="001348C1">
      <w:pPr>
        <w:pStyle w:val="AERbodytext"/>
      </w:pPr>
      <w:r>
        <w:t>Clauses 5I.6, 5I.7, 5I.8, and 5I.9 detail the approach that the AER must take in making an assessment of whether ‘expenditure excess’ is prudent. These clauses, amongst other things require the AER to make an assessment on the timing of the expenditure excess, the nature of the competitive tender process, and the circumstances and information available to the DNSP at the time of incurring the expenditure excess.</w:t>
      </w:r>
    </w:p>
    <w:p w:rsidR="00F13460" w:rsidRDefault="00F13460" w:rsidP="00F13460">
      <w:pPr>
        <w:pStyle w:val="Heading1"/>
        <w:numPr>
          <w:ilvl w:val="1"/>
          <w:numId w:val="2"/>
        </w:numPr>
      </w:pPr>
      <w:bookmarkStart w:id="7" w:name="_Toc337658636"/>
      <w:bookmarkStart w:id="8" w:name="_Toc340057630"/>
      <w:r>
        <w:lastRenderedPageBreak/>
        <w:t>Approved 2013 metering charges</w:t>
      </w:r>
      <w:bookmarkEnd w:id="7"/>
      <w:bookmarkEnd w:id="8"/>
    </w:p>
    <w:p w:rsidR="000D4058" w:rsidRPr="000D4058" w:rsidRDefault="000D4058" w:rsidP="000D4058">
      <w:pPr>
        <w:pStyle w:val="Caption"/>
      </w:pPr>
      <w:bookmarkStart w:id="9" w:name="_Ref310408739"/>
      <w:proofErr w:type="gramStart"/>
      <w:r>
        <w:t xml:space="preserve">Table </w:t>
      </w:r>
      <w:fldSimple w:instr=" STYLEREF 1 \s ">
        <w:r w:rsidRPr="000D4058">
          <w:t>1</w:t>
        </w:r>
      </w:fldSimple>
      <w:r>
        <w:t>.</w:t>
      </w:r>
      <w:proofErr w:type="gramEnd"/>
      <w:fldSimple w:instr=" SEQ Table \* ARABIC \s 1 ">
        <w:r w:rsidRPr="000D4058">
          <w:t>1</w:t>
        </w:r>
      </w:fldSimple>
      <w:bookmarkEnd w:id="9"/>
      <w:r>
        <w:tab/>
      </w:r>
      <w:r w:rsidRPr="000D4058">
        <w:t>Comparison of 2013 approved and revised charges ($nominal</w:t>
      </w:r>
      <w:r w:rsidRPr="000D4058">
        <w:rPr>
          <w:rStyle w:val="FootnoteReference"/>
        </w:rPr>
        <w:footnoteReference w:id="4"/>
      </w:r>
      <w:r w:rsidRPr="000D4058">
        <w:t>, GST exclusive)</w:t>
      </w:r>
    </w:p>
    <w:tbl>
      <w:tblPr>
        <w:tblStyle w:val="AERtable-numbers"/>
        <w:tblW w:w="9464" w:type="dxa"/>
        <w:tblLook w:val="04A0"/>
      </w:tblPr>
      <w:tblGrid>
        <w:gridCol w:w="1642"/>
        <w:gridCol w:w="3625"/>
        <w:gridCol w:w="1504"/>
        <w:gridCol w:w="1596"/>
        <w:gridCol w:w="1097"/>
      </w:tblGrid>
      <w:tr w:rsidR="008D213E" w:rsidRPr="000C052F" w:rsidTr="00134BAA">
        <w:trPr>
          <w:cnfStyle w:val="100000000000"/>
          <w:trHeight w:val="823"/>
        </w:trPr>
        <w:tc>
          <w:tcPr>
            <w:cnfStyle w:val="001000000000"/>
            <w:tcW w:w="1642" w:type="dxa"/>
            <w:noWrap/>
          </w:tcPr>
          <w:p w:rsidR="008D213E" w:rsidRPr="008D213E" w:rsidRDefault="008D213E" w:rsidP="008922C4">
            <w:pPr>
              <w:pStyle w:val="AERtabletextleft"/>
            </w:pPr>
            <w:r w:rsidRPr="008922C4">
              <w:t>Distributor</w:t>
            </w:r>
            <w:r w:rsidRPr="008D213E">
              <w:t xml:space="preserve"> </w:t>
            </w:r>
          </w:p>
        </w:tc>
        <w:tc>
          <w:tcPr>
            <w:tcW w:w="3625" w:type="dxa"/>
            <w:noWrap/>
          </w:tcPr>
          <w:p w:rsidR="008D213E" w:rsidRPr="008922C4" w:rsidRDefault="008D213E" w:rsidP="009133F3">
            <w:pPr>
              <w:pStyle w:val="AERtabletextleft"/>
              <w:jc w:val="left"/>
              <w:cnfStyle w:val="100000000000"/>
            </w:pPr>
            <w:r w:rsidRPr="008922C4">
              <w:t xml:space="preserve">Meter type </w:t>
            </w:r>
          </w:p>
        </w:tc>
        <w:tc>
          <w:tcPr>
            <w:tcW w:w="1504" w:type="dxa"/>
            <w:noWrap/>
          </w:tcPr>
          <w:p w:rsidR="008D213E" w:rsidRPr="008D213E" w:rsidRDefault="008D213E" w:rsidP="009133F3">
            <w:pPr>
              <w:pStyle w:val="AERtabletextleft"/>
              <w:jc w:val="left"/>
              <w:cnfStyle w:val="100000000000"/>
            </w:pPr>
            <w:r w:rsidRPr="008D213E">
              <w:t>Previous approved 2013 charges</w:t>
            </w:r>
            <w:r w:rsidRPr="008D213E">
              <w:rPr>
                <w:rStyle w:val="FootnoteReference"/>
              </w:rPr>
              <w:footnoteReference w:id="5"/>
            </w:r>
          </w:p>
        </w:tc>
        <w:tc>
          <w:tcPr>
            <w:tcW w:w="1596" w:type="dxa"/>
            <w:noWrap/>
          </w:tcPr>
          <w:p w:rsidR="008D213E" w:rsidRPr="008D213E" w:rsidRDefault="00D23B60" w:rsidP="009133F3">
            <w:pPr>
              <w:pStyle w:val="AERtabletextleft"/>
              <w:jc w:val="left"/>
              <w:cnfStyle w:val="100000000000"/>
            </w:pPr>
            <w:r>
              <w:t xml:space="preserve">Revised  </w:t>
            </w:r>
            <w:r>
              <w:br/>
              <w:t xml:space="preserve">2013 </w:t>
            </w:r>
            <w:r w:rsidR="008D213E" w:rsidRPr="008D213E">
              <w:t xml:space="preserve">charges approved </w:t>
            </w:r>
            <w:r w:rsidR="008D213E" w:rsidRPr="008D213E">
              <w:rPr>
                <w:rStyle w:val="FootnoteReference"/>
              </w:rPr>
              <w:footnoteReference w:id="6"/>
            </w:r>
          </w:p>
        </w:tc>
        <w:tc>
          <w:tcPr>
            <w:tcW w:w="1097" w:type="dxa"/>
            <w:noWrap/>
          </w:tcPr>
          <w:p w:rsidR="008D213E" w:rsidRPr="008D213E" w:rsidRDefault="008D213E" w:rsidP="009133F3">
            <w:pPr>
              <w:pStyle w:val="AERtabletextleft"/>
              <w:jc w:val="left"/>
              <w:cnfStyle w:val="100000000000"/>
            </w:pPr>
            <w:r w:rsidRPr="008D213E">
              <w:t xml:space="preserve">Variance </w:t>
            </w:r>
          </w:p>
          <w:p w:rsidR="008D213E" w:rsidRPr="008D213E" w:rsidRDefault="008D213E" w:rsidP="008922C4">
            <w:pPr>
              <w:pStyle w:val="AERtabletextleft"/>
              <w:cnfStyle w:val="100000000000"/>
            </w:pPr>
          </w:p>
        </w:tc>
      </w:tr>
      <w:tr w:rsidR="008D213E" w:rsidRPr="000C052F" w:rsidTr="00134BAA">
        <w:trPr>
          <w:trHeight w:val="478"/>
        </w:trPr>
        <w:tc>
          <w:tcPr>
            <w:cnfStyle w:val="001000000000"/>
            <w:tcW w:w="1642" w:type="dxa"/>
            <w:noWrap/>
          </w:tcPr>
          <w:p w:rsidR="008D213E" w:rsidRPr="00561846" w:rsidRDefault="008D213E" w:rsidP="001348C1">
            <w:pPr>
              <w:pStyle w:val="AERtabletextleft"/>
              <w:rPr>
                <w:rStyle w:val="AERtextbold"/>
              </w:rPr>
            </w:pPr>
            <w:proofErr w:type="spellStart"/>
            <w:r w:rsidRPr="00561846">
              <w:rPr>
                <w:rStyle w:val="AERtextbold"/>
              </w:rPr>
              <w:t>CitiPower</w:t>
            </w:r>
            <w:proofErr w:type="spellEnd"/>
            <w:r w:rsidRPr="00561846">
              <w:rPr>
                <w:rStyle w:val="AERtextbold"/>
              </w:rPr>
              <w:t xml:space="preserve"> </w:t>
            </w:r>
          </w:p>
        </w:tc>
        <w:tc>
          <w:tcPr>
            <w:tcW w:w="3625" w:type="dxa"/>
            <w:noWrap/>
          </w:tcPr>
          <w:p w:rsidR="008D213E" w:rsidRPr="008922C4" w:rsidRDefault="008D213E" w:rsidP="009133F3">
            <w:pPr>
              <w:pStyle w:val="AERtabletextleft"/>
              <w:jc w:val="left"/>
              <w:cnfStyle w:val="000000000000"/>
            </w:pPr>
            <w:r w:rsidRPr="008922C4">
              <w:t>Single phase</w:t>
            </w:r>
          </w:p>
        </w:tc>
        <w:tc>
          <w:tcPr>
            <w:tcW w:w="1504" w:type="dxa"/>
            <w:noWrap/>
            <w:vAlign w:val="top"/>
          </w:tcPr>
          <w:p w:rsidR="008D213E" w:rsidRPr="008D213E" w:rsidRDefault="008D213E" w:rsidP="009133F3">
            <w:pPr>
              <w:pStyle w:val="AERtabletextleft"/>
              <w:jc w:val="left"/>
              <w:cnfStyle w:val="000000000000"/>
            </w:pPr>
            <w:r w:rsidRPr="008D213E">
              <w:t>107.92</w:t>
            </w:r>
          </w:p>
        </w:tc>
        <w:tc>
          <w:tcPr>
            <w:tcW w:w="1596" w:type="dxa"/>
            <w:noWrap/>
            <w:vAlign w:val="top"/>
          </w:tcPr>
          <w:p w:rsidR="008D213E" w:rsidRPr="008D213E" w:rsidRDefault="008D213E" w:rsidP="009133F3">
            <w:pPr>
              <w:pStyle w:val="AERtabletextleft"/>
              <w:jc w:val="left"/>
              <w:cnfStyle w:val="000000000000"/>
            </w:pPr>
            <w:r w:rsidRPr="008D213E">
              <w:t>127.45</w:t>
            </w:r>
          </w:p>
        </w:tc>
        <w:tc>
          <w:tcPr>
            <w:tcW w:w="1097" w:type="dxa"/>
            <w:noWrap/>
            <w:vAlign w:val="top"/>
          </w:tcPr>
          <w:p w:rsidR="008D213E" w:rsidRPr="008D213E" w:rsidRDefault="008D213E" w:rsidP="009133F3">
            <w:pPr>
              <w:pStyle w:val="AERtabletextleft"/>
              <w:jc w:val="left"/>
              <w:cnfStyle w:val="000000000000"/>
            </w:pPr>
            <w:r w:rsidRPr="008D213E">
              <w:t>18.1%</w:t>
            </w:r>
          </w:p>
        </w:tc>
      </w:tr>
      <w:tr w:rsidR="008D213E" w:rsidRPr="000C052F" w:rsidTr="00134BAA">
        <w:trPr>
          <w:cnfStyle w:val="000000010000"/>
          <w:trHeight w:val="467"/>
        </w:trPr>
        <w:tc>
          <w:tcPr>
            <w:cnfStyle w:val="001000000000"/>
            <w:tcW w:w="1642" w:type="dxa"/>
            <w:noWrap/>
          </w:tcPr>
          <w:p w:rsidR="008D213E" w:rsidRPr="00561846" w:rsidRDefault="008D213E" w:rsidP="001348C1">
            <w:pPr>
              <w:pStyle w:val="AERtabletextleft"/>
              <w:rPr>
                <w:rStyle w:val="AERtextbold"/>
              </w:rPr>
            </w:pPr>
          </w:p>
        </w:tc>
        <w:tc>
          <w:tcPr>
            <w:tcW w:w="3625" w:type="dxa"/>
            <w:noWrap/>
          </w:tcPr>
          <w:p w:rsidR="008D213E" w:rsidRPr="008922C4" w:rsidRDefault="008D213E" w:rsidP="009133F3">
            <w:pPr>
              <w:pStyle w:val="AERtabletextleft"/>
              <w:jc w:val="left"/>
              <w:cnfStyle w:val="000000010000"/>
            </w:pPr>
            <w:r w:rsidRPr="008922C4">
              <w:t>Three phase direct connected meter</w:t>
            </w:r>
          </w:p>
        </w:tc>
        <w:tc>
          <w:tcPr>
            <w:tcW w:w="1504" w:type="dxa"/>
            <w:noWrap/>
            <w:vAlign w:val="top"/>
          </w:tcPr>
          <w:p w:rsidR="008D213E" w:rsidRPr="008D213E" w:rsidRDefault="008D213E" w:rsidP="009133F3">
            <w:pPr>
              <w:pStyle w:val="AERtabletextleft"/>
              <w:jc w:val="left"/>
              <w:cnfStyle w:val="000000010000"/>
            </w:pPr>
            <w:r w:rsidRPr="008D213E">
              <w:t>141.06</w:t>
            </w:r>
          </w:p>
        </w:tc>
        <w:tc>
          <w:tcPr>
            <w:tcW w:w="1596" w:type="dxa"/>
            <w:noWrap/>
            <w:vAlign w:val="top"/>
          </w:tcPr>
          <w:p w:rsidR="008D213E" w:rsidRPr="008D213E" w:rsidRDefault="008D213E" w:rsidP="009133F3">
            <w:pPr>
              <w:pStyle w:val="AERtabletextleft"/>
              <w:jc w:val="left"/>
              <w:cnfStyle w:val="000000010000"/>
            </w:pPr>
            <w:r w:rsidRPr="008D213E">
              <w:t>166.57</w:t>
            </w:r>
          </w:p>
        </w:tc>
        <w:tc>
          <w:tcPr>
            <w:tcW w:w="1097" w:type="dxa"/>
            <w:noWrap/>
            <w:vAlign w:val="top"/>
          </w:tcPr>
          <w:p w:rsidR="008D213E" w:rsidRPr="008D213E" w:rsidRDefault="008D213E" w:rsidP="009133F3">
            <w:pPr>
              <w:pStyle w:val="AERtabletextleft"/>
              <w:jc w:val="left"/>
              <w:cnfStyle w:val="000000010000"/>
            </w:pPr>
            <w:r w:rsidRPr="008D213E">
              <w:t>18.1%</w:t>
            </w:r>
          </w:p>
        </w:tc>
      </w:tr>
      <w:tr w:rsidR="008D213E" w:rsidRPr="000C052F" w:rsidTr="00134BAA">
        <w:trPr>
          <w:trHeight w:val="467"/>
        </w:trPr>
        <w:tc>
          <w:tcPr>
            <w:cnfStyle w:val="001000000000"/>
            <w:tcW w:w="1642" w:type="dxa"/>
            <w:noWrap/>
          </w:tcPr>
          <w:p w:rsidR="008D213E" w:rsidRPr="00561846" w:rsidRDefault="008D213E" w:rsidP="001348C1">
            <w:pPr>
              <w:pStyle w:val="AERtabletextleft"/>
              <w:rPr>
                <w:rStyle w:val="AERtextbold"/>
              </w:rPr>
            </w:pPr>
          </w:p>
        </w:tc>
        <w:tc>
          <w:tcPr>
            <w:tcW w:w="3625" w:type="dxa"/>
            <w:noWrap/>
          </w:tcPr>
          <w:p w:rsidR="008D213E" w:rsidRPr="008922C4" w:rsidRDefault="008D213E" w:rsidP="009133F3">
            <w:pPr>
              <w:pStyle w:val="AERtabletextleft"/>
              <w:jc w:val="left"/>
              <w:cnfStyle w:val="000000000000"/>
            </w:pPr>
            <w:r w:rsidRPr="008922C4">
              <w:t>Three phase CT connected meter</w:t>
            </w:r>
          </w:p>
        </w:tc>
        <w:tc>
          <w:tcPr>
            <w:tcW w:w="1504" w:type="dxa"/>
            <w:noWrap/>
            <w:vAlign w:val="top"/>
          </w:tcPr>
          <w:p w:rsidR="008D213E" w:rsidRPr="008D213E" w:rsidRDefault="008D213E" w:rsidP="009133F3">
            <w:pPr>
              <w:pStyle w:val="AERtabletextleft"/>
              <w:jc w:val="left"/>
              <w:cnfStyle w:val="000000000000"/>
            </w:pPr>
            <w:r w:rsidRPr="008D213E">
              <w:t>178.16</w:t>
            </w:r>
          </w:p>
        </w:tc>
        <w:tc>
          <w:tcPr>
            <w:tcW w:w="1596" w:type="dxa"/>
            <w:noWrap/>
            <w:vAlign w:val="top"/>
          </w:tcPr>
          <w:p w:rsidR="008D213E" w:rsidRPr="008D213E" w:rsidRDefault="008D213E" w:rsidP="009133F3">
            <w:pPr>
              <w:pStyle w:val="AERtabletextleft"/>
              <w:jc w:val="left"/>
              <w:cnfStyle w:val="000000000000"/>
            </w:pPr>
            <w:r w:rsidRPr="008D213E">
              <w:t>210.39</w:t>
            </w:r>
          </w:p>
        </w:tc>
        <w:tc>
          <w:tcPr>
            <w:tcW w:w="1097" w:type="dxa"/>
            <w:noWrap/>
            <w:vAlign w:val="top"/>
          </w:tcPr>
          <w:p w:rsidR="008D213E" w:rsidRPr="008D213E" w:rsidRDefault="008D213E" w:rsidP="009133F3">
            <w:pPr>
              <w:pStyle w:val="AERtabletextleft"/>
              <w:jc w:val="left"/>
              <w:cnfStyle w:val="000000000000"/>
            </w:pPr>
            <w:r w:rsidRPr="008D213E">
              <w:t>18.1%</w:t>
            </w:r>
          </w:p>
        </w:tc>
      </w:tr>
      <w:tr w:rsidR="008D213E" w:rsidRPr="000C052F" w:rsidTr="00134BAA">
        <w:trPr>
          <w:cnfStyle w:val="000000010000"/>
          <w:trHeight w:val="467"/>
        </w:trPr>
        <w:tc>
          <w:tcPr>
            <w:cnfStyle w:val="001000000000"/>
            <w:tcW w:w="1642" w:type="dxa"/>
            <w:noWrap/>
          </w:tcPr>
          <w:p w:rsidR="008D213E" w:rsidRPr="00561846" w:rsidRDefault="008D213E" w:rsidP="001348C1">
            <w:pPr>
              <w:pStyle w:val="AERtabletextleft"/>
              <w:rPr>
                <w:rStyle w:val="AERtextbold"/>
              </w:rPr>
            </w:pPr>
            <w:proofErr w:type="spellStart"/>
            <w:r w:rsidRPr="00561846">
              <w:rPr>
                <w:rStyle w:val="AERtextbold"/>
              </w:rPr>
              <w:t>Powercor</w:t>
            </w:r>
            <w:proofErr w:type="spellEnd"/>
            <w:r w:rsidRPr="00561846">
              <w:rPr>
                <w:rStyle w:val="AERtextbold"/>
              </w:rPr>
              <w:t xml:space="preserve"> </w:t>
            </w:r>
          </w:p>
        </w:tc>
        <w:tc>
          <w:tcPr>
            <w:tcW w:w="3625" w:type="dxa"/>
            <w:noWrap/>
          </w:tcPr>
          <w:p w:rsidR="008D213E" w:rsidRPr="008922C4" w:rsidRDefault="008D213E" w:rsidP="009133F3">
            <w:pPr>
              <w:pStyle w:val="AERtabletextleft"/>
              <w:jc w:val="left"/>
              <w:cnfStyle w:val="000000010000"/>
            </w:pPr>
            <w:r w:rsidRPr="008922C4">
              <w:t>Single phase</w:t>
            </w:r>
          </w:p>
        </w:tc>
        <w:tc>
          <w:tcPr>
            <w:tcW w:w="1504" w:type="dxa"/>
            <w:noWrap/>
            <w:vAlign w:val="top"/>
          </w:tcPr>
          <w:p w:rsidR="008D213E" w:rsidRPr="008D213E" w:rsidRDefault="008D213E" w:rsidP="009133F3">
            <w:pPr>
              <w:pStyle w:val="AERtabletextleft"/>
              <w:jc w:val="left"/>
              <w:cnfStyle w:val="000000010000"/>
            </w:pPr>
            <w:r w:rsidRPr="008D213E">
              <w:t>111.57</w:t>
            </w:r>
          </w:p>
        </w:tc>
        <w:tc>
          <w:tcPr>
            <w:tcW w:w="1596" w:type="dxa"/>
            <w:noWrap/>
            <w:vAlign w:val="top"/>
          </w:tcPr>
          <w:p w:rsidR="008D213E" w:rsidRPr="008D213E" w:rsidRDefault="008D213E" w:rsidP="009133F3">
            <w:pPr>
              <w:pStyle w:val="AERtabletextleft"/>
              <w:jc w:val="left"/>
              <w:cnfStyle w:val="000000010000"/>
            </w:pPr>
            <w:r w:rsidRPr="008D213E">
              <w:t>127.75</w:t>
            </w:r>
          </w:p>
        </w:tc>
        <w:tc>
          <w:tcPr>
            <w:tcW w:w="1097" w:type="dxa"/>
            <w:noWrap/>
            <w:vAlign w:val="top"/>
          </w:tcPr>
          <w:p w:rsidR="008D213E" w:rsidRPr="008D213E" w:rsidRDefault="008D213E" w:rsidP="009133F3">
            <w:pPr>
              <w:pStyle w:val="AERtabletextleft"/>
              <w:jc w:val="left"/>
              <w:cnfStyle w:val="000000010000"/>
            </w:pPr>
            <w:r w:rsidRPr="008D213E">
              <w:t>14.5%</w:t>
            </w:r>
          </w:p>
        </w:tc>
      </w:tr>
      <w:tr w:rsidR="008D213E" w:rsidRPr="000C052F" w:rsidTr="00134BAA">
        <w:trPr>
          <w:trHeight w:val="467"/>
        </w:trPr>
        <w:tc>
          <w:tcPr>
            <w:cnfStyle w:val="001000000000"/>
            <w:tcW w:w="1642" w:type="dxa"/>
            <w:noWrap/>
          </w:tcPr>
          <w:p w:rsidR="008D213E" w:rsidRPr="00561846" w:rsidRDefault="008D213E" w:rsidP="001348C1">
            <w:pPr>
              <w:pStyle w:val="AERtabletextleft"/>
              <w:rPr>
                <w:rStyle w:val="AERtextbold"/>
              </w:rPr>
            </w:pPr>
          </w:p>
        </w:tc>
        <w:tc>
          <w:tcPr>
            <w:tcW w:w="3625" w:type="dxa"/>
            <w:noWrap/>
          </w:tcPr>
          <w:p w:rsidR="008D213E" w:rsidRPr="008922C4" w:rsidRDefault="008D213E" w:rsidP="009133F3">
            <w:pPr>
              <w:pStyle w:val="AERtabletextleft"/>
              <w:jc w:val="left"/>
              <w:cnfStyle w:val="000000000000"/>
            </w:pPr>
            <w:r w:rsidRPr="008922C4">
              <w:t>Three phase direct connected meter</w:t>
            </w:r>
          </w:p>
        </w:tc>
        <w:tc>
          <w:tcPr>
            <w:tcW w:w="1504" w:type="dxa"/>
            <w:noWrap/>
            <w:vAlign w:val="top"/>
          </w:tcPr>
          <w:p w:rsidR="008D213E" w:rsidRPr="008D213E" w:rsidRDefault="008D213E" w:rsidP="009133F3">
            <w:pPr>
              <w:pStyle w:val="AERtabletextleft"/>
              <w:jc w:val="left"/>
              <w:cnfStyle w:val="000000000000"/>
            </w:pPr>
            <w:r w:rsidRPr="008D213E">
              <w:t>147.16</w:t>
            </w:r>
          </w:p>
        </w:tc>
        <w:tc>
          <w:tcPr>
            <w:tcW w:w="1596" w:type="dxa"/>
            <w:noWrap/>
            <w:vAlign w:val="top"/>
          </w:tcPr>
          <w:p w:rsidR="008D213E" w:rsidRPr="008D213E" w:rsidRDefault="008D213E" w:rsidP="009133F3">
            <w:pPr>
              <w:pStyle w:val="AERtabletextleft"/>
              <w:jc w:val="left"/>
              <w:cnfStyle w:val="000000000000"/>
            </w:pPr>
            <w:r w:rsidRPr="008D213E">
              <w:t>168.5</w:t>
            </w:r>
          </w:p>
        </w:tc>
        <w:tc>
          <w:tcPr>
            <w:tcW w:w="1097" w:type="dxa"/>
            <w:noWrap/>
            <w:vAlign w:val="top"/>
          </w:tcPr>
          <w:p w:rsidR="008D213E" w:rsidRPr="008D213E" w:rsidRDefault="008D213E" w:rsidP="009133F3">
            <w:pPr>
              <w:pStyle w:val="AERtabletextleft"/>
              <w:jc w:val="left"/>
              <w:cnfStyle w:val="000000000000"/>
            </w:pPr>
            <w:r w:rsidRPr="008D213E">
              <w:t>14.5%</w:t>
            </w:r>
          </w:p>
        </w:tc>
      </w:tr>
      <w:tr w:rsidR="008D213E" w:rsidRPr="000C052F" w:rsidTr="00134BAA">
        <w:trPr>
          <w:cnfStyle w:val="000000010000"/>
          <w:trHeight w:val="467"/>
        </w:trPr>
        <w:tc>
          <w:tcPr>
            <w:cnfStyle w:val="001000000000"/>
            <w:tcW w:w="1642" w:type="dxa"/>
            <w:noWrap/>
          </w:tcPr>
          <w:p w:rsidR="008D213E" w:rsidRPr="00561846" w:rsidRDefault="008D213E" w:rsidP="001348C1">
            <w:pPr>
              <w:pStyle w:val="AERtabletextleft"/>
              <w:rPr>
                <w:rStyle w:val="AERtextbold"/>
              </w:rPr>
            </w:pPr>
          </w:p>
        </w:tc>
        <w:tc>
          <w:tcPr>
            <w:tcW w:w="3625" w:type="dxa"/>
            <w:noWrap/>
          </w:tcPr>
          <w:p w:rsidR="008D213E" w:rsidRPr="008922C4" w:rsidRDefault="008D213E" w:rsidP="009133F3">
            <w:pPr>
              <w:pStyle w:val="AERtabletextleft"/>
              <w:jc w:val="left"/>
              <w:cnfStyle w:val="000000010000"/>
            </w:pPr>
            <w:r w:rsidRPr="008922C4">
              <w:t>Three phase CT connected meter</w:t>
            </w:r>
          </w:p>
        </w:tc>
        <w:tc>
          <w:tcPr>
            <w:tcW w:w="1504" w:type="dxa"/>
            <w:noWrap/>
            <w:vAlign w:val="top"/>
          </w:tcPr>
          <w:p w:rsidR="008D213E" w:rsidRPr="008D213E" w:rsidRDefault="008D213E" w:rsidP="009133F3">
            <w:pPr>
              <w:pStyle w:val="AERtabletextleft"/>
              <w:jc w:val="left"/>
              <w:cnfStyle w:val="000000010000"/>
            </w:pPr>
            <w:r w:rsidRPr="008D213E">
              <w:t>194.99</w:t>
            </w:r>
          </w:p>
        </w:tc>
        <w:tc>
          <w:tcPr>
            <w:tcW w:w="1596" w:type="dxa"/>
            <w:noWrap/>
            <w:vAlign w:val="top"/>
          </w:tcPr>
          <w:p w:rsidR="008D213E" w:rsidRPr="008D213E" w:rsidRDefault="008D213E" w:rsidP="009133F3">
            <w:pPr>
              <w:pStyle w:val="AERtabletextleft"/>
              <w:jc w:val="left"/>
              <w:cnfStyle w:val="000000010000"/>
            </w:pPr>
            <w:r w:rsidRPr="008D213E">
              <w:t>223.27</w:t>
            </w:r>
          </w:p>
        </w:tc>
        <w:tc>
          <w:tcPr>
            <w:tcW w:w="1097" w:type="dxa"/>
            <w:noWrap/>
            <w:vAlign w:val="top"/>
          </w:tcPr>
          <w:p w:rsidR="008D213E" w:rsidRPr="008D213E" w:rsidRDefault="008D213E" w:rsidP="009133F3">
            <w:pPr>
              <w:pStyle w:val="AERtabletextleft"/>
              <w:jc w:val="left"/>
              <w:cnfStyle w:val="000000010000"/>
            </w:pPr>
            <w:r w:rsidRPr="008D213E">
              <w:t>14.5%</w:t>
            </w:r>
          </w:p>
        </w:tc>
      </w:tr>
      <w:tr w:rsidR="008D213E" w:rsidRPr="000C052F" w:rsidTr="00134BAA">
        <w:trPr>
          <w:trHeight w:val="421"/>
        </w:trPr>
        <w:tc>
          <w:tcPr>
            <w:cnfStyle w:val="001000000000"/>
            <w:tcW w:w="1642" w:type="dxa"/>
            <w:noWrap/>
          </w:tcPr>
          <w:p w:rsidR="00134BAA" w:rsidRDefault="008D213E" w:rsidP="001348C1">
            <w:pPr>
              <w:pStyle w:val="AERtabletextleft"/>
              <w:rPr>
                <w:rStyle w:val="AERtextbold"/>
              </w:rPr>
            </w:pPr>
            <w:r w:rsidRPr="00561846">
              <w:rPr>
                <w:rStyle w:val="AERtextbold"/>
              </w:rPr>
              <w:t xml:space="preserve">JEN </w:t>
            </w:r>
          </w:p>
          <w:p w:rsidR="00134BAA" w:rsidRPr="00561846" w:rsidRDefault="00134BAA" w:rsidP="001348C1">
            <w:pPr>
              <w:pStyle w:val="AERtabletextleft"/>
              <w:rPr>
                <w:rStyle w:val="AERtextbold"/>
              </w:rPr>
            </w:pPr>
          </w:p>
        </w:tc>
        <w:tc>
          <w:tcPr>
            <w:tcW w:w="3625" w:type="dxa"/>
            <w:noWrap/>
          </w:tcPr>
          <w:p w:rsidR="00134BAA" w:rsidRDefault="008D213E" w:rsidP="00134BAA">
            <w:pPr>
              <w:pStyle w:val="AERtabletextleft"/>
              <w:jc w:val="left"/>
              <w:cnfStyle w:val="000000000000"/>
            </w:pPr>
            <w:r w:rsidRPr="008922C4">
              <w:t>Single phase single element meter</w:t>
            </w:r>
          </w:p>
          <w:p w:rsidR="00134BAA" w:rsidRPr="008922C4" w:rsidRDefault="00134BAA" w:rsidP="00134BAA">
            <w:pPr>
              <w:pStyle w:val="AERtabletextleft"/>
              <w:jc w:val="left"/>
              <w:cnfStyle w:val="000000000000"/>
            </w:pPr>
          </w:p>
        </w:tc>
        <w:tc>
          <w:tcPr>
            <w:tcW w:w="1504" w:type="dxa"/>
            <w:noWrap/>
            <w:vAlign w:val="top"/>
          </w:tcPr>
          <w:p w:rsidR="008D213E" w:rsidRPr="008D213E" w:rsidRDefault="008D213E" w:rsidP="00D23B60">
            <w:pPr>
              <w:pStyle w:val="AERtabletextleft"/>
              <w:jc w:val="left"/>
              <w:cnfStyle w:val="000000000000"/>
            </w:pPr>
            <w:r w:rsidRPr="008D213E">
              <w:t>173.38</w:t>
            </w:r>
          </w:p>
        </w:tc>
        <w:tc>
          <w:tcPr>
            <w:tcW w:w="1596" w:type="dxa"/>
            <w:noWrap/>
            <w:vAlign w:val="top"/>
          </w:tcPr>
          <w:p w:rsidR="008D213E" w:rsidRPr="008D213E" w:rsidRDefault="008D213E" w:rsidP="00D23B60">
            <w:pPr>
              <w:pStyle w:val="AERtabletextleft"/>
              <w:jc w:val="left"/>
              <w:cnfStyle w:val="000000000000"/>
            </w:pPr>
            <w:r w:rsidRPr="008D213E">
              <w:t>173.38</w:t>
            </w:r>
          </w:p>
        </w:tc>
        <w:tc>
          <w:tcPr>
            <w:tcW w:w="1097" w:type="dxa"/>
            <w:noWrap/>
            <w:vAlign w:val="top"/>
          </w:tcPr>
          <w:p w:rsidR="00134BAA" w:rsidRPr="008D213E" w:rsidRDefault="008D213E" w:rsidP="00D23B60">
            <w:pPr>
              <w:pStyle w:val="AERtabletextleft"/>
              <w:jc w:val="left"/>
              <w:cnfStyle w:val="000000000000"/>
            </w:pPr>
            <w:r w:rsidRPr="008D213E">
              <w:t>No change</w:t>
            </w:r>
          </w:p>
        </w:tc>
      </w:tr>
      <w:tr w:rsidR="008D213E" w:rsidRPr="000C052F" w:rsidTr="00134BAA">
        <w:trPr>
          <w:cnfStyle w:val="000000010000"/>
          <w:trHeight w:val="467"/>
        </w:trPr>
        <w:tc>
          <w:tcPr>
            <w:cnfStyle w:val="001000000000"/>
            <w:tcW w:w="1642" w:type="dxa"/>
            <w:noWrap/>
          </w:tcPr>
          <w:p w:rsidR="008D213E" w:rsidRPr="00561846" w:rsidRDefault="008D213E" w:rsidP="001348C1">
            <w:pPr>
              <w:pStyle w:val="AERtabletextleft"/>
              <w:rPr>
                <w:rStyle w:val="AERtextbold"/>
              </w:rPr>
            </w:pPr>
          </w:p>
        </w:tc>
        <w:tc>
          <w:tcPr>
            <w:tcW w:w="3625" w:type="dxa"/>
            <w:noWrap/>
          </w:tcPr>
          <w:p w:rsidR="008D213E" w:rsidRPr="008922C4" w:rsidRDefault="008D213E" w:rsidP="00D23B60">
            <w:pPr>
              <w:pStyle w:val="AERtabletextleft"/>
              <w:jc w:val="left"/>
              <w:cnfStyle w:val="000000010000"/>
            </w:pPr>
            <w:r w:rsidRPr="008922C4">
              <w:t>Single phase single element meter with contactor</w:t>
            </w:r>
          </w:p>
        </w:tc>
        <w:tc>
          <w:tcPr>
            <w:tcW w:w="1504" w:type="dxa"/>
            <w:noWrap/>
            <w:vAlign w:val="top"/>
          </w:tcPr>
          <w:p w:rsidR="008D213E" w:rsidRPr="008D213E" w:rsidRDefault="008D213E" w:rsidP="00D23B60">
            <w:pPr>
              <w:pStyle w:val="AERtabletextleft"/>
              <w:jc w:val="left"/>
              <w:cnfStyle w:val="000000010000"/>
            </w:pPr>
            <w:r w:rsidRPr="008D213E">
              <w:t>173.38</w:t>
            </w:r>
          </w:p>
        </w:tc>
        <w:tc>
          <w:tcPr>
            <w:tcW w:w="1596" w:type="dxa"/>
            <w:noWrap/>
            <w:vAlign w:val="top"/>
          </w:tcPr>
          <w:p w:rsidR="008D213E" w:rsidRPr="008D213E" w:rsidRDefault="008D213E" w:rsidP="00D23B60">
            <w:pPr>
              <w:pStyle w:val="AERtabletextleft"/>
              <w:jc w:val="left"/>
              <w:cnfStyle w:val="000000010000"/>
            </w:pPr>
            <w:r w:rsidRPr="008D213E">
              <w:t>173.38</w:t>
            </w:r>
          </w:p>
        </w:tc>
        <w:tc>
          <w:tcPr>
            <w:tcW w:w="1097" w:type="dxa"/>
            <w:noWrap/>
            <w:vAlign w:val="top"/>
          </w:tcPr>
          <w:p w:rsidR="008D213E" w:rsidRPr="008D213E" w:rsidRDefault="000828CE" w:rsidP="000828CE">
            <w:pPr>
              <w:pStyle w:val="AERtabletextleft"/>
              <w:jc w:val="left"/>
              <w:cnfStyle w:val="000000010000"/>
            </w:pPr>
            <w:r w:rsidRPr="008D213E">
              <w:t>No change</w:t>
            </w:r>
          </w:p>
        </w:tc>
      </w:tr>
      <w:tr w:rsidR="008D213E" w:rsidRPr="000C052F" w:rsidTr="00134BAA">
        <w:trPr>
          <w:trHeight w:val="467"/>
        </w:trPr>
        <w:tc>
          <w:tcPr>
            <w:cnfStyle w:val="001000000000"/>
            <w:tcW w:w="1642" w:type="dxa"/>
            <w:noWrap/>
          </w:tcPr>
          <w:p w:rsidR="008D213E" w:rsidRPr="00561846" w:rsidRDefault="008D213E" w:rsidP="001348C1">
            <w:pPr>
              <w:pStyle w:val="AERtabletextleft"/>
              <w:rPr>
                <w:rStyle w:val="AERtextbold"/>
              </w:rPr>
            </w:pPr>
          </w:p>
        </w:tc>
        <w:tc>
          <w:tcPr>
            <w:tcW w:w="3625" w:type="dxa"/>
            <w:noWrap/>
          </w:tcPr>
          <w:p w:rsidR="008D213E" w:rsidRPr="008922C4" w:rsidRDefault="008D213E" w:rsidP="00D23B60">
            <w:pPr>
              <w:pStyle w:val="AERtabletextleft"/>
              <w:jc w:val="left"/>
              <w:cnfStyle w:val="000000000000"/>
            </w:pPr>
            <w:r w:rsidRPr="008922C4">
              <w:t>Three phase direct connected meter</w:t>
            </w:r>
          </w:p>
        </w:tc>
        <w:tc>
          <w:tcPr>
            <w:tcW w:w="1504" w:type="dxa"/>
            <w:noWrap/>
            <w:vAlign w:val="top"/>
          </w:tcPr>
          <w:p w:rsidR="008D213E" w:rsidRPr="008D213E" w:rsidRDefault="008D213E" w:rsidP="00D23B60">
            <w:pPr>
              <w:pStyle w:val="AERtabletextleft"/>
              <w:jc w:val="left"/>
              <w:cnfStyle w:val="000000000000"/>
            </w:pPr>
            <w:r w:rsidRPr="008D213E">
              <w:t>213.07</w:t>
            </w:r>
          </w:p>
        </w:tc>
        <w:tc>
          <w:tcPr>
            <w:tcW w:w="1596" w:type="dxa"/>
            <w:noWrap/>
            <w:vAlign w:val="top"/>
          </w:tcPr>
          <w:p w:rsidR="008D213E" w:rsidRPr="008D213E" w:rsidRDefault="008D213E" w:rsidP="00D23B60">
            <w:pPr>
              <w:pStyle w:val="AERtabletextleft"/>
              <w:jc w:val="left"/>
              <w:cnfStyle w:val="000000000000"/>
            </w:pPr>
            <w:r w:rsidRPr="008D213E">
              <w:t>213.07</w:t>
            </w:r>
          </w:p>
        </w:tc>
        <w:tc>
          <w:tcPr>
            <w:tcW w:w="1097" w:type="dxa"/>
            <w:noWrap/>
            <w:vAlign w:val="top"/>
          </w:tcPr>
          <w:p w:rsidR="008D213E" w:rsidRPr="008D213E" w:rsidRDefault="000828CE" w:rsidP="000828CE">
            <w:pPr>
              <w:pStyle w:val="AERtabletextleft"/>
              <w:jc w:val="left"/>
              <w:cnfStyle w:val="000000000000"/>
            </w:pPr>
            <w:r w:rsidRPr="008D213E">
              <w:t>No change</w:t>
            </w:r>
          </w:p>
        </w:tc>
      </w:tr>
      <w:tr w:rsidR="008D213E" w:rsidRPr="000C052F" w:rsidTr="00134BAA">
        <w:trPr>
          <w:cnfStyle w:val="000000010000"/>
          <w:trHeight w:val="467"/>
        </w:trPr>
        <w:tc>
          <w:tcPr>
            <w:cnfStyle w:val="001000000000"/>
            <w:tcW w:w="1642" w:type="dxa"/>
            <w:noWrap/>
          </w:tcPr>
          <w:p w:rsidR="008D213E" w:rsidRPr="00561846" w:rsidRDefault="008D213E" w:rsidP="001348C1">
            <w:pPr>
              <w:pStyle w:val="AERtabletextleft"/>
              <w:rPr>
                <w:rStyle w:val="AERtextbold"/>
              </w:rPr>
            </w:pPr>
          </w:p>
        </w:tc>
        <w:tc>
          <w:tcPr>
            <w:tcW w:w="3625" w:type="dxa"/>
            <w:noWrap/>
          </w:tcPr>
          <w:p w:rsidR="008D213E" w:rsidRPr="008922C4" w:rsidRDefault="008D213E" w:rsidP="00D23B60">
            <w:pPr>
              <w:pStyle w:val="AERtabletextleft"/>
              <w:jc w:val="left"/>
              <w:cnfStyle w:val="000000010000"/>
            </w:pPr>
            <w:r w:rsidRPr="008922C4">
              <w:t>Three phase current transformer connected meter</w:t>
            </w:r>
          </w:p>
        </w:tc>
        <w:tc>
          <w:tcPr>
            <w:tcW w:w="1504" w:type="dxa"/>
            <w:noWrap/>
            <w:vAlign w:val="top"/>
          </w:tcPr>
          <w:p w:rsidR="008D213E" w:rsidRPr="008D213E" w:rsidRDefault="008D213E" w:rsidP="00D23B60">
            <w:pPr>
              <w:pStyle w:val="AERtabletextleft"/>
              <w:jc w:val="left"/>
              <w:cnfStyle w:val="000000010000"/>
            </w:pPr>
            <w:r w:rsidRPr="008D213E">
              <w:t>236.88</w:t>
            </w:r>
          </w:p>
        </w:tc>
        <w:tc>
          <w:tcPr>
            <w:tcW w:w="1596" w:type="dxa"/>
            <w:noWrap/>
            <w:vAlign w:val="top"/>
          </w:tcPr>
          <w:p w:rsidR="008D213E" w:rsidRPr="008D213E" w:rsidRDefault="008D213E" w:rsidP="00D23B60">
            <w:pPr>
              <w:pStyle w:val="AERtabletextleft"/>
              <w:jc w:val="left"/>
              <w:cnfStyle w:val="000000010000"/>
            </w:pPr>
            <w:r w:rsidRPr="008D213E">
              <w:t>236.88</w:t>
            </w:r>
          </w:p>
        </w:tc>
        <w:tc>
          <w:tcPr>
            <w:tcW w:w="1097" w:type="dxa"/>
            <w:noWrap/>
            <w:vAlign w:val="top"/>
          </w:tcPr>
          <w:p w:rsidR="008D213E" w:rsidRPr="008D213E" w:rsidRDefault="000828CE" w:rsidP="000828CE">
            <w:pPr>
              <w:pStyle w:val="AERtabletextleft"/>
              <w:jc w:val="left"/>
              <w:cnfStyle w:val="000000010000"/>
            </w:pPr>
            <w:r w:rsidRPr="008D213E">
              <w:t>No change</w:t>
            </w:r>
            <w:r w:rsidR="00750498">
              <w:t xml:space="preserve"> </w:t>
            </w:r>
          </w:p>
        </w:tc>
      </w:tr>
      <w:tr w:rsidR="008D213E" w:rsidRPr="000C052F" w:rsidTr="00134BAA">
        <w:trPr>
          <w:trHeight w:val="467"/>
        </w:trPr>
        <w:tc>
          <w:tcPr>
            <w:cnfStyle w:val="001000000000"/>
            <w:tcW w:w="1642" w:type="dxa"/>
            <w:noWrap/>
          </w:tcPr>
          <w:p w:rsidR="008D213E" w:rsidRPr="00561846" w:rsidRDefault="008D213E" w:rsidP="001348C1">
            <w:pPr>
              <w:pStyle w:val="AERtabletextleft"/>
              <w:rPr>
                <w:rStyle w:val="AERtextbold"/>
              </w:rPr>
            </w:pPr>
            <w:r w:rsidRPr="00561846">
              <w:rPr>
                <w:rStyle w:val="AERtextbold"/>
              </w:rPr>
              <w:t xml:space="preserve">SP </w:t>
            </w:r>
            <w:proofErr w:type="spellStart"/>
            <w:r w:rsidRPr="00561846">
              <w:rPr>
                <w:rStyle w:val="AERtextbold"/>
              </w:rPr>
              <w:t>AusNet</w:t>
            </w:r>
            <w:proofErr w:type="spellEnd"/>
            <w:r w:rsidRPr="00561846">
              <w:rPr>
                <w:rStyle w:val="AERtextbold"/>
              </w:rPr>
              <w:t xml:space="preserve"> </w:t>
            </w:r>
          </w:p>
        </w:tc>
        <w:tc>
          <w:tcPr>
            <w:tcW w:w="3625" w:type="dxa"/>
            <w:noWrap/>
          </w:tcPr>
          <w:p w:rsidR="008D213E" w:rsidRPr="008922C4" w:rsidRDefault="008D213E" w:rsidP="00D23B60">
            <w:pPr>
              <w:pStyle w:val="AERtabletextleft"/>
              <w:jc w:val="left"/>
              <w:cnfStyle w:val="000000000000"/>
            </w:pPr>
            <w:r w:rsidRPr="008922C4">
              <w:t>Single phase, single element</w:t>
            </w:r>
          </w:p>
        </w:tc>
        <w:tc>
          <w:tcPr>
            <w:tcW w:w="1504" w:type="dxa"/>
            <w:noWrap/>
            <w:vAlign w:val="top"/>
          </w:tcPr>
          <w:p w:rsidR="008D213E" w:rsidRPr="008D213E" w:rsidRDefault="008D213E" w:rsidP="00D23B60">
            <w:pPr>
              <w:pStyle w:val="AERtabletextleft"/>
              <w:jc w:val="left"/>
              <w:cnfStyle w:val="000000000000"/>
            </w:pPr>
            <w:r w:rsidRPr="008D213E">
              <w:t>122.60</w:t>
            </w:r>
          </w:p>
        </w:tc>
        <w:tc>
          <w:tcPr>
            <w:tcW w:w="1596" w:type="dxa"/>
            <w:noWrap/>
            <w:vAlign w:val="top"/>
          </w:tcPr>
          <w:p w:rsidR="008D213E" w:rsidRPr="008D213E" w:rsidRDefault="008D213E" w:rsidP="00D23B60">
            <w:pPr>
              <w:pStyle w:val="AERtabletextleft"/>
              <w:jc w:val="left"/>
              <w:cnfStyle w:val="000000000000"/>
            </w:pPr>
            <w:r w:rsidRPr="008D213E">
              <w:t>130.45</w:t>
            </w:r>
          </w:p>
        </w:tc>
        <w:tc>
          <w:tcPr>
            <w:tcW w:w="1097" w:type="dxa"/>
            <w:noWrap/>
            <w:vAlign w:val="top"/>
          </w:tcPr>
          <w:p w:rsidR="008D213E" w:rsidRPr="008D213E" w:rsidRDefault="008D213E" w:rsidP="00D23B60">
            <w:pPr>
              <w:pStyle w:val="AERtabletextleft"/>
              <w:jc w:val="left"/>
              <w:cnfStyle w:val="000000000000"/>
            </w:pPr>
            <w:r w:rsidRPr="008D213E">
              <w:t>6.4%</w:t>
            </w:r>
          </w:p>
        </w:tc>
      </w:tr>
      <w:tr w:rsidR="008D213E" w:rsidRPr="000C052F" w:rsidTr="00134BAA">
        <w:trPr>
          <w:cnfStyle w:val="000000010000"/>
          <w:trHeight w:val="467"/>
        </w:trPr>
        <w:tc>
          <w:tcPr>
            <w:cnfStyle w:val="001000000000"/>
            <w:tcW w:w="1642" w:type="dxa"/>
            <w:noWrap/>
          </w:tcPr>
          <w:p w:rsidR="008D213E" w:rsidRPr="00561846" w:rsidRDefault="008D213E" w:rsidP="001348C1">
            <w:pPr>
              <w:pStyle w:val="AERtabletextleft"/>
              <w:rPr>
                <w:rStyle w:val="AERtextbold"/>
              </w:rPr>
            </w:pPr>
          </w:p>
        </w:tc>
        <w:tc>
          <w:tcPr>
            <w:tcW w:w="3625" w:type="dxa"/>
            <w:noWrap/>
          </w:tcPr>
          <w:p w:rsidR="008D213E" w:rsidRPr="008922C4" w:rsidRDefault="008D213E" w:rsidP="00D23B60">
            <w:pPr>
              <w:pStyle w:val="AERtabletextleft"/>
              <w:jc w:val="left"/>
              <w:cnfStyle w:val="000000010000"/>
            </w:pPr>
            <w:r w:rsidRPr="008922C4">
              <w:t>Single phase, two element with contactor</w:t>
            </w:r>
          </w:p>
        </w:tc>
        <w:tc>
          <w:tcPr>
            <w:tcW w:w="1504" w:type="dxa"/>
            <w:noWrap/>
            <w:vAlign w:val="top"/>
          </w:tcPr>
          <w:p w:rsidR="008D213E" w:rsidRPr="008D213E" w:rsidRDefault="008D213E" w:rsidP="00D23B60">
            <w:pPr>
              <w:pStyle w:val="AERtabletextleft"/>
              <w:jc w:val="left"/>
              <w:cnfStyle w:val="000000010000"/>
            </w:pPr>
            <w:r w:rsidRPr="008D213E">
              <w:t>140.87</w:t>
            </w:r>
          </w:p>
        </w:tc>
        <w:tc>
          <w:tcPr>
            <w:tcW w:w="1596" w:type="dxa"/>
            <w:noWrap/>
            <w:vAlign w:val="top"/>
          </w:tcPr>
          <w:p w:rsidR="008D213E" w:rsidRPr="008D213E" w:rsidRDefault="008D213E" w:rsidP="00D23B60">
            <w:pPr>
              <w:pStyle w:val="AERtabletextleft"/>
              <w:jc w:val="left"/>
              <w:cnfStyle w:val="000000010000"/>
            </w:pPr>
            <w:r w:rsidRPr="008D213E">
              <w:t>149.90</w:t>
            </w:r>
          </w:p>
        </w:tc>
        <w:tc>
          <w:tcPr>
            <w:tcW w:w="1097" w:type="dxa"/>
            <w:noWrap/>
            <w:vAlign w:val="top"/>
          </w:tcPr>
          <w:p w:rsidR="008D213E" w:rsidRPr="008D213E" w:rsidRDefault="008D213E" w:rsidP="00D23B60">
            <w:pPr>
              <w:pStyle w:val="AERtabletextleft"/>
              <w:jc w:val="left"/>
              <w:cnfStyle w:val="000000010000"/>
            </w:pPr>
            <w:r w:rsidRPr="008D213E">
              <w:t>6.4%</w:t>
            </w:r>
          </w:p>
        </w:tc>
      </w:tr>
      <w:tr w:rsidR="008D213E" w:rsidRPr="000C052F" w:rsidTr="00134BAA">
        <w:trPr>
          <w:trHeight w:val="467"/>
        </w:trPr>
        <w:tc>
          <w:tcPr>
            <w:cnfStyle w:val="001000000000"/>
            <w:tcW w:w="1642" w:type="dxa"/>
            <w:noWrap/>
          </w:tcPr>
          <w:p w:rsidR="008D213E" w:rsidRPr="00561846" w:rsidRDefault="008D213E" w:rsidP="001348C1">
            <w:pPr>
              <w:pStyle w:val="AERtabletextleft"/>
              <w:rPr>
                <w:rStyle w:val="AERtextbold"/>
              </w:rPr>
            </w:pPr>
          </w:p>
        </w:tc>
        <w:tc>
          <w:tcPr>
            <w:tcW w:w="3625" w:type="dxa"/>
            <w:noWrap/>
          </w:tcPr>
          <w:p w:rsidR="008D213E" w:rsidRPr="008922C4" w:rsidRDefault="008D213E" w:rsidP="00D23B60">
            <w:pPr>
              <w:pStyle w:val="AERtabletextleft"/>
              <w:jc w:val="left"/>
              <w:cnfStyle w:val="000000000000"/>
            </w:pPr>
            <w:r w:rsidRPr="008922C4">
              <w:t>Multi phase</w:t>
            </w:r>
          </w:p>
        </w:tc>
        <w:tc>
          <w:tcPr>
            <w:tcW w:w="1504" w:type="dxa"/>
            <w:noWrap/>
            <w:vAlign w:val="top"/>
          </w:tcPr>
          <w:p w:rsidR="008D213E" w:rsidRPr="008D213E" w:rsidRDefault="008D213E" w:rsidP="00D23B60">
            <w:pPr>
              <w:pStyle w:val="AERtabletextleft"/>
              <w:jc w:val="left"/>
              <w:cnfStyle w:val="000000000000"/>
            </w:pPr>
            <w:r w:rsidRPr="008D213E">
              <w:t>170.19</w:t>
            </w:r>
          </w:p>
        </w:tc>
        <w:tc>
          <w:tcPr>
            <w:tcW w:w="1596" w:type="dxa"/>
            <w:noWrap/>
            <w:vAlign w:val="top"/>
          </w:tcPr>
          <w:p w:rsidR="008D213E" w:rsidRPr="008D213E" w:rsidRDefault="008D213E" w:rsidP="00D23B60">
            <w:pPr>
              <w:pStyle w:val="AERtabletextleft"/>
              <w:jc w:val="left"/>
              <w:cnfStyle w:val="000000000000"/>
            </w:pPr>
            <w:r w:rsidRPr="008D213E">
              <w:t>181.10</w:t>
            </w:r>
          </w:p>
        </w:tc>
        <w:tc>
          <w:tcPr>
            <w:tcW w:w="1097" w:type="dxa"/>
            <w:noWrap/>
            <w:vAlign w:val="top"/>
          </w:tcPr>
          <w:p w:rsidR="008D213E" w:rsidRPr="008D213E" w:rsidRDefault="008D213E" w:rsidP="00D23B60">
            <w:pPr>
              <w:pStyle w:val="AERtabletextleft"/>
              <w:jc w:val="left"/>
              <w:cnfStyle w:val="000000000000"/>
            </w:pPr>
            <w:r w:rsidRPr="008D213E">
              <w:t>6.4%</w:t>
            </w:r>
          </w:p>
        </w:tc>
      </w:tr>
      <w:tr w:rsidR="008D213E" w:rsidRPr="000C052F" w:rsidTr="00134BAA">
        <w:trPr>
          <w:cnfStyle w:val="000000010000"/>
          <w:trHeight w:val="467"/>
        </w:trPr>
        <w:tc>
          <w:tcPr>
            <w:cnfStyle w:val="001000000000"/>
            <w:tcW w:w="1642" w:type="dxa"/>
            <w:noWrap/>
          </w:tcPr>
          <w:p w:rsidR="008D213E" w:rsidRPr="00561846" w:rsidRDefault="008D213E" w:rsidP="001348C1">
            <w:pPr>
              <w:pStyle w:val="AERtabletextleft"/>
              <w:rPr>
                <w:rStyle w:val="AERtextbold"/>
              </w:rPr>
            </w:pPr>
          </w:p>
        </w:tc>
        <w:tc>
          <w:tcPr>
            <w:tcW w:w="3625" w:type="dxa"/>
            <w:noWrap/>
          </w:tcPr>
          <w:p w:rsidR="008D213E" w:rsidRPr="008922C4" w:rsidRDefault="008D213E" w:rsidP="00D23B60">
            <w:pPr>
              <w:pStyle w:val="AERtabletextleft"/>
              <w:jc w:val="left"/>
              <w:cnfStyle w:val="000000010000"/>
            </w:pPr>
            <w:r w:rsidRPr="008922C4">
              <w:t>Multi phase, with contactor</w:t>
            </w:r>
          </w:p>
        </w:tc>
        <w:tc>
          <w:tcPr>
            <w:tcW w:w="1504" w:type="dxa"/>
            <w:noWrap/>
            <w:vAlign w:val="top"/>
          </w:tcPr>
          <w:p w:rsidR="008D213E" w:rsidRPr="008D213E" w:rsidRDefault="008D213E" w:rsidP="00D23B60">
            <w:pPr>
              <w:pStyle w:val="AERtabletextleft"/>
              <w:jc w:val="left"/>
              <w:cnfStyle w:val="000000010000"/>
            </w:pPr>
            <w:r w:rsidRPr="008D213E">
              <w:t>188.79</w:t>
            </w:r>
          </w:p>
        </w:tc>
        <w:tc>
          <w:tcPr>
            <w:tcW w:w="1596" w:type="dxa"/>
            <w:noWrap/>
            <w:vAlign w:val="top"/>
          </w:tcPr>
          <w:p w:rsidR="008D213E" w:rsidRPr="008D213E" w:rsidRDefault="008D213E" w:rsidP="00D23B60">
            <w:pPr>
              <w:pStyle w:val="AERtabletextleft"/>
              <w:jc w:val="left"/>
              <w:cnfStyle w:val="000000010000"/>
            </w:pPr>
            <w:r w:rsidRPr="008D213E">
              <w:t>200.89</w:t>
            </w:r>
          </w:p>
        </w:tc>
        <w:tc>
          <w:tcPr>
            <w:tcW w:w="1097" w:type="dxa"/>
            <w:noWrap/>
            <w:vAlign w:val="top"/>
          </w:tcPr>
          <w:p w:rsidR="008D213E" w:rsidRPr="008D213E" w:rsidRDefault="008D213E" w:rsidP="00D23B60">
            <w:pPr>
              <w:pStyle w:val="AERtabletextleft"/>
              <w:jc w:val="left"/>
              <w:cnfStyle w:val="000000010000"/>
            </w:pPr>
            <w:r w:rsidRPr="008D213E">
              <w:t>6.4%</w:t>
            </w:r>
          </w:p>
        </w:tc>
      </w:tr>
      <w:tr w:rsidR="008D213E" w:rsidRPr="000C052F" w:rsidTr="00134BAA">
        <w:trPr>
          <w:trHeight w:val="467"/>
        </w:trPr>
        <w:tc>
          <w:tcPr>
            <w:cnfStyle w:val="001000000000"/>
            <w:tcW w:w="1642" w:type="dxa"/>
            <w:noWrap/>
          </w:tcPr>
          <w:p w:rsidR="008D213E" w:rsidRPr="00561846" w:rsidRDefault="008D213E" w:rsidP="001348C1">
            <w:pPr>
              <w:pStyle w:val="AERtabletextleft"/>
              <w:rPr>
                <w:rStyle w:val="AERtextbold"/>
              </w:rPr>
            </w:pPr>
          </w:p>
        </w:tc>
        <w:tc>
          <w:tcPr>
            <w:tcW w:w="3625" w:type="dxa"/>
            <w:noWrap/>
          </w:tcPr>
          <w:p w:rsidR="008D213E" w:rsidRPr="008D213E" w:rsidRDefault="008D213E" w:rsidP="00D23B60">
            <w:pPr>
              <w:pStyle w:val="AERtabletextleft"/>
              <w:jc w:val="left"/>
              <w:cnfStyle w:val="000000000000"/>
            </w:pPr>
            <w:r w:rsidRPr="008D213E">
              <w:t>Multi phase current transformer connected</w:t>
            </w:r>
          </w:p>
        </w:tc>
        <w:tc>
          <w:tcPr>
            <w:tcW w:w="1504" w:type="dxa"/>
            <w:noWrap/>
            <w:vAlign w:val="top"/>
          </w:tcPr>
          <w:p w:rsidR="008D213E" w:rsidRPr="008D213E" w:rsidRDefault="008D213E" w:rsidP="00D23B60">
            <w:pPr>
              <w:pStyle w:val="AERtabletextleft"/>
              <w:jc w:val="left"/>
              <w:cnfStyle w:val="000000000000"/>
            </w:pPr>
            <w:r w:rsidRPr="008D213E">
              <w:t>243.10</w:t>
            </w:r>
          </w:p>
        </w:tc>
        <w:tc>
          <w:tcPr>
            <w:tcW w:w="1596" w:type="dxa"/>
            <w:noWrap/>
            <w:vAlign w:val="top"/>
          </w:tcPr>
          <w:p w:rsidR="008D213E" w:rsidRPr="008D213E" w:rsidRDefault="008D213E" w:rsidP="00D23B60">
            <w:pPr>
              <w:pStyle w:val="AERtabletextleft"/>
              <w:jc w:val="left"/>
              <w:cnfStyle w:val="000000000000"/>
            </w:pPr>
            <w:r w:rsidRPr="008D213E">
              <w:t>258.68</w:t>
            </w:r>
          </w:p>
        </w:tc>
        <w:tc>
          <w:tcPr>
            <w:tcW w:w="1097" w:type="dxa"/>
            <w:noWrap/>
            <w:vAlign w:val="top"/>
          </w:tcPr>
          <w:p w:rsidR="008D213E" w:rsidRPr="008D213E" w:rsidRDefault="008D213E" w:rsidP="00D23B60">
            <w:pPr>
              <w:pStyle w:val="AERtabletextleft"/>
              <w:jc w:val="left"/>
              <w:cnfStyle w:val="000000000000"/>
            </w:pPr>
            <w:r w:rsidRPr="008D213E">
              <w:t>6.4%</w:t>
            </w:r>
          </w:p>
        </w:tc>
      </w:tr>
      <w:tr w:rsidR="008D213E" w:rsidRPr="000C052F" w:rsidTr="00134BAA">
        <w:trPr>
          <w:cnfStyle w:val="000000010000"/>
          <w:trHeight w:val="467"/>
        </w:trPr>
        <w:tc>
          <w:tcPr>
            <w:cnfStyle w:val="001000000000"/>
            <w:tcW w:w="1642" w:type="dxa"/>
            <w:noWrap/>
          </w:tcPr>
          <w:p w:rsidR="008D213E" w:rsidRPr="00561846" w:rsidRDefault="008D213E" w:rsidP="001348C1">
            <w:pPr>
              <w:pStyle w:val="AERtabletextleft"/>
              <w:rPr>
                <w:rStyle w:val="AERtextbold"/>
              </w:rPr>
            </w:pPr>
            <w:r w:rsidRPr="00561846">
              <w:rPr>
                <w:rStyle w:val="AERtextbold"/>
              </w:rPr>
              <w:t xml:space="preserve">United Energy </w:t>
            </w:r>
          </w:p>
        </w:tc>
        <w:tc>
          <w:tcPr>
            <w:tcW w:w="3625" w:type="dxa"/>
            <w:noWrap/>
          </w:tcPr>
          <w:p w:rsidR="008D213E" w:rsidRPr="008D213E" w:rsidRDefault="008D213E" w:rsidP="00D23B60">
            <w:pPr>
              <w:pStyle w:val="AERtabletextleft"/>
              <w:jc w:val="left"/>
              <w:cnfStyle w:val="000000010000"/>
            </w:pPr>
            <w:r w:rsidRPr="008D213E">
              <w:t>Single phase single element meter</w:t>
            </w:r>
          </w:p>
        </w:tc>
        <w:tc>
          <w:tcPr>
            <w:tcW w:w="1504" w:type="dxa"/>
            <w:noWrap/>
            <w:vAlign w:val="top"/>
          </w:tcPr>
          <w:p w:rsidR="008D213E" w:rsidRPr="008D213E" w:rsidRDefault="008D213E" w:rsidP="00D23B60">
            <w:pPr>
              <w:pStyle w:val="AERtabletextleft"/>
              <w:jc w:val="left"/>
              <w:cnfStyle w:val="000000010000"/>
            </w:pPr>
            <w:r w:rsidRPr="008D213E">
              <w:t>123.30</w:t>
            </w:r>
          </w:p>
        </w:tc>
        <w:tc>
          <w:tcPr>
            <w:tcW w:w="1596" w:type="dxa"/>
            <w:noWrap/>
            <w:vAlign w:val="top"/>
          </w:tcPr>
          <w:p w:rsidR="008D213E" w:rsidRPr="008D213E" w:rsidRDefault="008D213E" w:rsidP="00D23B60">
            <w:pPr>
              <w:pStyle w:val="AERtabletextleft"/>
              <w:jc w:val="left"/>
              <w:cnfStyle w:val="000000010000"/>
            </w:pPr>
            <w:r w:rsidRPr="008D213E">
              <w:t>124.45</w:t>
            </w:r>
          </w:p>
        </w:tc>
        <w:tc>
          <w:tcPr>
            <w:tcW w:w="1097" w:type="dxa"/>
            <w:noWrap/>
            <w:vAlign w:val="top"/>
          </w:tcPr>
          <w:p w:rsidR="008D213E" w:rsidRPr="008D213E" w:rsidRDefault="008D213E" w:rsidP="00D23B60">
            <w:pPr>
              <w:pStyle w:val="AERtabletextleft"/>
              <w:jc w:val="left"/>
              <w:cnfStyle w:val="000000010000"/>
            </w:pPr>
            <w:r w:rsidRPr="008D213E">
              <w:t>0.9%</w:t>
            </w:r>
          </w:p>
        </w:tc>
      </w:tr>
      <w:tr w:rsidR="008D213E" w:rsidRPr="000C052F" w:rsidTr="00134BAA">
        <w:trPr>
          <w:trHeight w:val="541"/>
        </w:trPr>
        <w:tc>
          <w:tcPr>
            <w:cnfStyle w:val="001000000000"/>
            <w:tcW w:w="1642" w:type="dxa"/>
            <w:noWrap/>
          </w:tcPr>
          <w:p w:rsidR="008D213E" w:rsidRPr="008D213E" w:rsidRDefault="008D213E" w:rsidP="001348C1">
            <w:pPr>
              <w:pStyle w:val="AERtabletextleft"/>
            </w:pPr>
          </w:p>
        </w:tc>
        <w:tc>
          <w:tcPr>
            <w:tcW w:w="3625" w:type="dxa"/>
            <w:noWrap/>
          </w:tcPr>
          <w:p w:rsidR="008D213E" w:rsidRPr="008D213E" w:rsidRDefault="008D213E" w:rsidP="00D23B60">
            <w:pPr>
              <w:pStyle w:val="AERtabletextleft"/>
              <w:jc w:val="left"/>
              <w:cnfStyle w:val="000000000000"/>
            </w:pPr>
            <w:r w:rsidRPr="008D213E">
              <w:t>Single phase single element meter with contactor</w:t>
            </w:r>
            <w:r w:rsidRPr="008D213E">
              <w:rPr>
                <w:rStyle w:val="FootnoteReference"/>
              </w:rPr>
              <w:footnoteReference w:id="7"/>
            </w:r>
          </w:p>
        </w:tc>
        <w:tc>
          <w:tcPr>
            <w:tcW w:w="1504" w:type="dxa"/>
            <w:noWrap/>
            <w:vAlign w:val="top"/>
          </w:tcPr>
          <w:p w:rsidR="008D213E" w:rsidRPr="008D213E" w:rsidRDefault="008D213E" w:rsidP="00D23B60">
            <w:pPr>
              <w:pStyle w:val="AERtabletextleft"/>
              <w:jc w:val="left"/>
              <w:cnfStyle w:val="000000000000"/>
            </w:pPr>
            <w:r w:rsidRPr="008D213E">
              <w:t>125.84</w:t>
            </w:r>
          </w:p>
        </w:tc>
        <w:tc>
          <w:tcPr>
            <w:tcW w:w="1596" w:type="dxa"/>
            <w:noWrap/>
            <w:vAlign w:val="top"/>
          </w:tcPr>
          <w:p w:rsidR="008D213E" w:rsidRPr="008D213E" w:rsidRDefault="008D213E" w:rsidP="00D23B60">
            <w:pPr>
              <w:pStyle w:val="AERtabletextleft"/>
              <w:jc w:val="left"/>
              <w:cnfStyle w:val="000000000000"/>
            </w:pPr>
            <w:r w:rsidRPr="008D213E">
              <w:t>124.45</w:t>
            </w:r>
          </w:p>
        </w:tc>
        <w:tc>
          <w:tcPr>
            <w:tcW w:w="1097" w:type="dxa"/>
            <w:noWrap/>
            <w:vAlign w:val="top"/>
          </w:tcPr>
          <w:p w:rsidR="008D213E" w:rsidRPr="008D213E" w:rsidRDefault="008D213E" w:rsidP="00D23B60">
            <w:pPr>
              <w:pStyle w:val="AERtabletextleft"/>
              <w:jc w:val="left"/>
              <w:cnfStyle w:val="000000000000"/>
            </w:pPr>
            <w:r w:rsidRPr="008D213E">
              <w:t>-1.1%</w:t>
            </w:r>
          </w:p>
        </w:tc>
      </w:tr>
      <w:tr w:rsidR="009A5D9F" w:rsidRPr="000C052F" w:rsidTr="00134BAA">
        <w:trPr>
          <w:cnfStyle w:val="000000010000"/>
          <w:trHeight w:val="467"/>
        </w:trPr>
        <w:tc>
          <w:tcPr>
            <w:cnfStyle w:val="001000000000"/>
            <w:tcW w:w="1642" w:type="dxa"/>
            <w:noWrap/>
          </w:tcPr>
          <w:p w:rsidR="009A5D9F" w:rsidRPr="009A5D9F" w:rsidRDefault="009A5D9F" w:rsidP="00964F3F">
            <w:pPr>
              <w:pStyle w:val="AERtabletextleft"/>
            </w:pPr>
          </w:p>
        </w:tc>
        <w:tc>
          <w:tcPr>
            <w:tcW w:w="3625" w:type="dxa"/>
            <w:noWrap/>
          </w:tcPr>
          <w:p w:rsidR="009A5D9F" w:rsidRPr="009A5D9F" w:rsidRDefault="009A5D9F" w:rsidP="00964F3F">
            <w:pPr>
              <w:pStyle w:val="AERtabletextleft"/>
              <w:jc w:val="left"/>
              <w:cnfStyle w:val="000000010000"/>
            </w:pPr>
            <w:r w:rsidRPr="009A5D9F">
              <w:t>Three phase direct connected meter</w:t>
            </w:r>
          </w:p>
        </w:tc>
        <w:tc>
          <w:tcPr>
            <w:tcW w:w="1504" w:type="dxa"/>
            <w:noWrap/>
            <w:vAlign w:val="top"/>
          </w:tcPr>
          <w:p w:rsidR="009A5D9F" w:rsidRPr="009A5D9F" w:rsidRDefault="009A5D9F" w:rsidP="00964F3F">
            <w:pPr>
              <w:pStyle w:val="AERtabletextleft"/>
              <w:cnfStyle w:val="000000010000"/>
            </w:pPr>
            <w:r w:rsidRPr="009A5D9F">
              <w:t>139.05</w:t>
            </w:r>
          </w:p>
        </w:tc>
        <w:tc>
          <w:tcPr>
            <w:tcW w:w="1596" w:type="dxa"/>
            <w:noWrap/>
            <w:vAlign w:val="top"/>
          </w:tcPr>
          <w:p w:rsidR="009A5D9F" w:rsidRPr="009A5D9F" w:rsidRDefault="009A5D9F" w:rsidP="00964F3F">
            <w:pPr>
              <w:pStyle w:val="AERtabletextleft"/>
              <w:cnfStyle w:val="000000010000"/>
            </w:pPr>
            <w:r w:rsidRPr="009A5D9F">
              <w:t>140.35</w:t>
            </w:r>
          </w:p>
        </w:tc>
        <w:tc>
          <w:tcPr>
            <w:tcW w:w="1097" w:type="dxa"/>
            <w:noWrap/>
            <w:vAlign w:val="top"/>
          </w:tcPr>
          <w:p w:rsidR="009A5D9F" w:rsidRPr="009A5D9F" w:rsidRDefault="009A5D9F" w:rsidP="00964F3F">
            <w:pPr>
              <w:pStyle w:val="AERtabletextleft"/>
              <w:cnfStyle w:val="000000010000"/>
            </w:pPr>
            <w:r w:rsidRPr="009A5D9F">
              <w:t>0.9%</w:t>
            </w:r>
          </w:p>
        </w:tc>
      </w:tr>
      <w:tr w:rsidR="009A5D9F" w:rsidRPr="000C052F" w:rsidTr="00134BAA">
        <w:trPr>
          <w:trHeight w:val="543"/>
        </w:trPr>
        <w:tc>
          <w:tcPr>
            <w:cnfStyle w:val="001000000000"/>
            <w:tcW w:w="1642" w:type="dxa"/>
            <w:noWrap/>
          </w:tcPr>
          <w:p w:rsidR="009A5D9F" w:rsidRPr="009A5D9F" w:rsidRDefault="009A5D9F" w:rsidP="00964F3F">
            <w:pPr>
              <w:pStyle w:val="AERtabletextleft"/>
            </w:pPr>
          </w:p>
        </w:tc>
        <w:tc>
          <w:tcPr>
            <w:tcW w:w="3625" w:type="dxa"/>
            <w:noWrap/>
          </w:tcPr>
          <w:p w:rsidR="009A5D9F" w:rsidRPr="009A5D9F" w:rsidRDefault="009A5D9F" w:rsidP="00964F3F">
            <w:pPr>
              <w:pStyle w:val="AERtabletextleft"/>
              <w:jc w:val="left"/>
              <w:cnfStyle w:val="000000000000"/>
            </w:pPr>
            <w:r w:rsidRPr="009A5D9F">
              <w:t>Three phase current transformer connected mete</w:t>
            </w:r>
            <w:r>
              <w:t>r</w:t>
            </w:r>
          </w:p>
        </w:tc>
        <w:tc>
          <w:tcPr>
            <w:tcW w:w="1504" w:type="dxa"/>
            <w:noWrap/>
            <w:vAlign w:val="top"/>
          </w:tcPr>
          <w:p w:rsidR="009A5D9F" w:rsidRPr="009A5D9F" w:rsidRDefault="009A5D9F" w:rsidP="00964F3F">
            <w:pPr>
              <w:pStyle w:val="AERtabletextleft"/>
              <w:cnfStyle w:val="000000000000"/>
            </w:pPr>
            <w:r w:rsidRPr="009A5D9F">
              <w:t>148.33</w:t>
            </w:r>
          </w:p>
        </w:tc>
        <w:tc>
          <w:tcPr>
            <w:tcW w:w="1596" w:type="dxa"/>
            <w:noWrap/>
            <w:vAlign w:val="top"/>
          </w:tcPr>
          <w:p w:rsidR="009A5D9F" w:rsidRPr="009A5D9F" w:rsidRDefault="009A5D9F" w:rsidP="00964F3F">
            <w:pPr>
              <w:pStyle w:val="AERtabletextleft"/>
              <w:cnfStyle w:val="000000000000"/>
            </w:pPr>
            <w:r>
              <w:t xml:space="preserve"> </w:t>
            </w:r>
            <w:r w:rsidRPr="009A5D9F">
              <w:t>149.71</w:t>
            </w:r>
          </w:p>
        </w:tc>
        <w:tc>
          <w:tcPr>
            <w:tcW w:w="1097" w:type="dxa"/>
            <w:noWrap/>
            <w:vAlign w:val="top"/>
          </w:tcPr>
          <w:p w:rsidR="009A5D9F" w:rsidRPr="009A5D9F" w:rsidRDefault="009A5D9F" w:rsidP="00964F3F">
            <w:pPr>
              <w:pStyle w:val="AERtabletextleft"/>
              <w:cnfStyle w:val="000000000000"/>
            </w:pPr>
            <w:r w:rsidRPr="009A5D9F">
              <w:t>0.9%</w:t>
            </w:r>
          </w:p>
        </w:tc>
      </w:tr>
    </w:tbl>
    <w:p w:rsidR="00B9264D" w:rsidRDefault="00B9264D" w:rsidP="00964F3F">
      <w:pPr>
        <w:pStyle w:val="AERtablesource"/>
        <w:ind w:left="0" w:firstLine="0"/>
      </w:pPr>
    </w:p>
    <w:sectPr w:rsidR="00B9264D" w:rsidSect="00040599">
      <w:foot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48C1" w:rsidRPr="00AB4345" w:rsidRDefault="001348C1" w:rsidP="00AB4345">
      <w:r>
        <w:separator/>
      </w:r>
    </w:p>
  </w:endnote>
  <w:endnote w:type="continuationSeparator" w:id="0">
    <w:p w:rsidR="001348C1" w:rsidRPr="00AB4345" w:rsidRDefault="001348C1" w:rsidP="00AB434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8C1" w:rsidRPr="00210880" w:rsidRDefault="001348C1" w:rsidP="00DD5520">
    <w:pPr>
      <w:pStyle w:val="Footer"/>
      <w:rPr>
        <w:rStyle w:val="AERbody"/>
      </w:rPr>
    </w:pPr>
    <w:r>
      <w:rPr>
        <w:rStyle w:val="AERbody"/>
      </w:rPr>
      <w:t>Advanced metering infrastructure 2013 revised charges</w:t>
    </w:r>
    <w:r w:rsidRPr="00210880">
      <w:rPr>
        <w:rStyle w:val="AERbody"/>
      </w:rPr>
      <w:tab/>
    </w:r>
    <w:r w:rsidRPr="00210880">
      <w:rPr>
        <w:rStyle w:val="AERbody"/>
      </w:rPr>
      <w:fldChar w:fldCharType="begin"/>
    </w:r>
    <w:r w:rsidRPr="00210880">
      <w:rPr>
        <w:rStyle w:val="AERbody"/>
      </w:rPr>
      <w:instrText xml:space="preserve"> PAGE   \* MERGEFORMAT </w:instrText>
    </w:r>
    <w:r w:rsidRPr="00210880">
      <w:rPr>
        <w:rStyle w:val="AERbody"/>
      </w:rPr>
      <w:fldChar w:fldCharType="separate"/>
    </w:r>
    <w:r w:rsidR="00025843">
      <w:rPr>
        <w:rStyle w:val="AERbody"/>
        <w:noProof/>
      </w:rPr>
      <w:t>8</w:t>
    </w:r>
    <w:r w:rsidRPr="00210880">
      <w:rPr>
        <w:rStyle w:val="AERbody"/>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48C1" w:rsidRPr="00AB4345" w:rsidRDefault="001348C1" w:rsidP="00AB4345">
      <w:r>
        <w:separator/>
      </w:r>
    </w:p>
  </w:footnote>
  <w:footnote w:type="continuationSeparator" w:id="0">
    <w:p w:rsidR="001348C1" w:rsidRPr="00AB4345" w:rsidRDefault="001348C1" w:rsidP="00AB4345">
      <w:r>
        <w:continuationSeparator/>
      </w:r>
    </w:p>
  </w:footnote>
  <w:footnote w:id="1">
    <w:p w:rsidR="001348C1" w:rsidRPr="004D0141" w:rsidRDefault="001348C1" w:rsidP="001F787E">
      <w:pPr>
        <w:pStyle w:val="Footer"/>
      </w:pPr>
      <w:r w:rsidRPr="004D0141">
        <w:rPr>
          <w:rStyle w:val="FootnoteReference"/>
        </w:rPr>
        <w:footnoteRef/>
      </w:r>
      <w:r w:rsidRPr="004D0141">
        <w:t xml:space="preserve">    The regulatory arrangements relating to the AMI rollout are set out in an August 2007 Order in  Council made by the Victorian Governor in Council under sections 15A and 46D of the Electricity  Industry Act 2000. </w:t>
      </w:r>
    </w:p>
  </w:footnote>
  <w:footnote w:id="2">
    <w:p w:rsidR="001348C1" w:rsidRPr="00CA14BB" w:rsidRDefault="001348C1" w:rsidP="001F787E">
      <w:pPr>
        <w:pStyle w:val="Footer"/>
      </w:pPr>
      <w:r w:rsidRPr="004D0141">
        <w:rPr>
          <w:rStyle w:val="FootnoteReference"/>
        </w:rPr>
        <w:footnoteRef/>
      </w:r>
      <w:r w:rsidRPr="004D0141">
        <w:t xml:space="preserve"> </w:t>
      </w:r>
      <w:proofErr w:type="gramStart"/>
      <w:r w:rsidRPr="004D0141">
        <w:t>AER Final Determination, Victorian Advanced Metering Infrastructure Review 2012–15 budget and charges application, October 2011.</w:t>
      </w:r>
      <w:proofErr w:type="gramEnd"/>
      <w:r w:rsidRPr="00CA14BB">
        <w:t xml:space="preserve"> </w:t>
      </w:r>
    </w:p>
  </w:footnote>
  <w:footnote w:id="3">
    <w:p w:rsidR="001348C1" w:rsidRDefault="001348C1" w:rsidP="001F787E">
      <w:pPr>
        <w:pStyle w:val="Footer"/>
      </w:pPr>
      <w:r>
        <w:rPr>
          <w:rStyle w:val="FootnoteReference"/>
        </w:rPr>
        <w:footnoteRef/>
      </w:r>
      <w:r>
        <w:t xml:space="preserve"> </w:t>
      </w:r>
      <w:r>
        <w:tab/>
        <w:t xml:space="preserve">The details of the AER approved charges can be found in  </w:t>
      </w:r>
      <w:r w:rsidRPr="00041E19">
        <w:t>AER Final Determination, Victorian Advanced Metering Infrastructure Review 2012–15 budget and charges application, October 2011.</w:t>
      </w:r>
      <w:r>
        <w:t xml:space="preserve"> </w:t>
      </w:r>
    </w:p>
  </w:footnote>
  <w:footnote w:id="4">
    <w:p w:rsidR="001F787E" w:rsidRDefault="001F787E" w:rsidP="000D4058">
      <w:pPr>
        <w:pStyle w:val="FootnoteText"/>
      </w:pPr>
      <w:r>
        <w:rPr>
          <w:rStyle w:val="FootnoteReference"/>
        </w:rPr>
        <w:footnoteRef/>
      </w:r>
      <w:r>
        <w:t xml:space="preserve"> </w:t>
      </w:r>
      <w:r>
        <w:tab/>
        <w:t xml:space="preserve">The AER notes that the </w:t>
      </w:r>
      <w:proofErr w:type="spellStart"/>
      <w:r>
        <w:t>Citipower</w:t>
      </w:r>
      <w:proofErr w:type="spellEnd"/>
      <w:r>
        <w:t xml:space="preserve"> and </w:t>
      </w:r>
      <w:proofErr w:type="spellStart"/>
      <w:r>
        <w:t>Powercor’s</w:t>
      </w:r>
      <w:proofErr w:type="spellEnd"/>
      <w:r>
        <w:t xml:space="preserve"> AMI charges are expressed in $ per </w:t>
      </w:r>
      <w:proofErr w:type="spellStart"/>
      <w:r>
        <w:t>NMI</w:t>
      </w:r>
      <w:proofErr w:type="spellEnd"/>
      <w:r>
        <w:t xml:space="preserve">. AMI charges for JEN, SP </w:t>
      </w:r>
      <w:proofErr w:type="spellStart"/>
      <w:r>
        <w:t>AusNet</w:t>
      </w:r>
      <w:proofErr w:type="spellEnd"/>
      <w:r>
        <w:t xml:space="preserve"> and United Energy are all expressed in $ per meter. </w:t>
      </w:r>
    </w:p>
  </w:footnote>
  <w:footnote w:id="5">
    <w:p w:rsidR="001F787E" w:rsidRDefault="001F787E" w:rsidP="001448B8">
      <w:pPr>
        <w:pStyle w:val="FootnoteText"/>
      </w:pPr>
      <w:r>
        <w:rPr>
          <w:rStyle w:val="FootnoteReference"/>
        </w:rPr>
        <w:footnoteRef/>
      </w:r>
      <w:r>
        <w:t xml:space="preserve"> </w:t>
      </w:r>
      <w:r>
        <w:tab/>
        <w:t xml:space="preserve">Determined based on the </w:t>
      </w:r>
      <w:proofErr w:type="spellStart"/>
      <w:r>
        <w:t>AER’s</w:t>
      </w:r>
      <w:proofErr w:type="spellEnd"/>
      <w:r>
        <w:t xml:space="preserve"> 2011 Determination. </w:t>
      </w:r>
    </w:p>
  </w:footnote>
  <w:footnote w:id="6">
    <w:p w:rsidR="001F787E" w:rsidRDefault="001F787E" w:rsidP="001448B8">
      <w:pPr>
        <w:pStyle w:val="FootnoteText"/>
      </w:pPr>
      <w:r>
        <w:rPr>
          <w:rStyle w:val="FootnoteReference"/>
        </w:rPr>
        <w:footnoteRef/>
      </w:r>
      <w:r>
        <w:t xml:space="preserve"> </w:t>
      </w:r>
      <w:r>
        <w:tab/>
        <w:t xml:space="preserve">Determined based on the charges revision applications submitted by the Victorian </w:t>
      </w:r>
      <w:proofErr w:type="spellStart"/>
      <w:r>
        <w:t>DNSPs</w:t>
      </w:r>
      <w:proofErr w:type="spellEnd"/>
      <w:r>
        <w:t xml:space="preserve"> on 31 August 2012.</w:t>
      </w:r>
    </w:p>
  </w:footnote>
  <w:footnote w:id="7">
    <w:p w:rsidR="001F787E" w:rsidRDefault="001F787E" w:rsidP="001448B8">
      <w:pPr>
        <w:pStyle w:val="FootnoteText"/>
      </w:pPr>
      <w:r>
        <w:rPr>
          <w:rStyle w:val="FootnoteReference"/>
        </w:rPr>
        <w:footnoteRef/>
      </w:r>
      <w:r>
        <w:t xml:space="preserve"> </w:t>
      </w:r>
      <w:r>
        <w:tab/>
        <w:t xml:space="preserve">United Energy submits that this charge is applicable for single phase, single element meters with a contactor and also single phase, two </w:t>
      </w:r>
      <w:proofErr w:type="gramStart"/>
      <w:r>
        <w:t>element</w:t>
      </w:r>
      <w:proofErr w:type="gramEnd"/>
      <w:r>
        <w:t xml:space="preserve"> with contactor once this metering configuration is available. (United Energy’s application dated 31 August 2012, p.3).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83E63"/>
    <w:multiLevelType w:val="multilevel"/>
    <w:tmpl w:val="1492709C"/>
    <w:numStyleLink w:val="AERHeadings"/>
  </w:abstractNum>
  <w:abstractNum w:abstractNumId="1">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
    <w:nsid w:val="0B102140"/>
    <w:multiLevelType w:val="multilevel"/>
    <w:tmpl w:val="B478DFE6"/>
    <w:numStyleLink w:val="AERnumberedlist"/>
  </w:abstractNum>
  <w:abstractNum w:abstractNumId="3">
    <w:nsid w:val="0D517D24"/>
    <w:multiLevelType w:val="hybridMultilevel"/>
    <w:tmpl w:val="BD7E2B36"/>
    <w:lvl w:ilvl="0" w:tplc="23B41A36">
      <w:start w:val="1"/>
      <w:numFmt w:val="lowerRoman"/>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4">
    <w:nsid w:val="13597CF9"/>
    <w:multiLevelType w:val="multilevel"/>
    <w:tmpl w:val="B478DFE6"/>
    <w:numStyleLink w:val="AERnumberedlist"/>
  </w:abstractNum>
  <w:abstractNum w:abstractNumId="5">
    <w:nsid w:val="176B27A6"/>
    <w:multiLevelType w:val="multilevel"/>
    <w:tmpl w:val="1492709C"/>
    <w:numStyleLink w:val="AERHeadings"/>
  </w:abstractNum>
  <w:abstractNum w:abstractNumId="6">
    <w:nsid w:val="1972601F"/>
    <w:multiLevelType w:val="multilevel"/>
    <w:tmpl w:val="1492709C"/>
    <w:numStyleLink w:val="AERHeadings"/>
  </w:abstractNum>
  <w:abstractNum w:abstractNumId="7">
    <w:nsid w:val="1DFA331B"/>
    <w:multiLevelType w:val="multilevel"/>
    <w:tmpl w:val="B478DFE6"/>
    <w:numStyleLink w:val="AERnumberedlist"/>
  </w:abstractNum>
  <w:abstractNum w:abstractNumId="8">
    <w:nsid w:val="233428C7"/>
    <w:multiLevelType w:val="multilevel"/>
    <w:tmpl w:val="B478DFE6"/>
    <w:numStyleLink w:val="AERnumberedlist"/>
  </w:abstractNum>
  <w:abstractNum w:abstractNumId="9">
    <w:nsid w:val="2776270C"/>
    <w:multiLevelType w:val="multilevel"/>
    <w:tmpl w:val="B478DFE6"/>
    <w:numStyleLink w:val="AERnumberedlist"/>
  </w:abstractNum>
  <w:abstractNum w:abstractNumId="10">
    <w:nsid w:val="281977C0"/>
    <w:multiLevelType w:val="multilevel"/>
    <w:tmpl w:val="1492709C"/>
    <w:numStyleLink w:val="AERHeadings"/>
  </w:abstractNum>
  <w:abstractNum w:abstractNumId="11">
    <w:nsid w:val="295C7239"/>
    <w:multiLevelType w:val="multilevel"/>
    <w:tmpl w:val="1492709C"/>
    <w:numStyleLink w:val="AERHeadings"/>
  </w:abstractNum>
  <w:abstractNum w:abstractNumId="12">
    <w:nsid w:val="2C2D6B9E"/>
    <w:multiLevelType w:val="multilevel"/>
    <w:tmpl w:val="1492709C"/>
    <w:numStyleLink w:val="AERHeadings"/>
  </w:abstractNum>
  <w:abstractNum w:abstractNumId="13">
    <w:nsid w:val="2DB12A3A"/>
    <w:multiLevelType w:val="multilevel"/>
    <w:tmpl w:val="1492709C"/>
    <w:numStyleLink w:val="AERHeadings"/>
  </w:abstractNum>
  <w:abstractNum w:abstractNumId="14">
    <w:nsid w:val="2FB612CC"/>
    <w:multiLevelType w:val="multilevel"/>
    <w:tmpl w:val="1492709C"/>
    <w:styleLink w:val="AERHeadings"/>
    <w:lvl w:ilvl="0">
      <w:start w:val="1"/>
      <w:numFmt w:val="none"/>
      <w:pStyle w:val="UnnumberedHeading"/>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5">
    <w:nsid w:val="301B31FF"/>
    <w:multiLevelType w:val="multilevel"/>
    <w:tmpl w:val="A5AEB1C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nsid w:val="31AA058E"/>
    <w:multiLevelType w:val="hybridMultilevel"/>
    <w:tmpl w:val="3C70101E"/>
    <w:lvl w:ilvl="0" w:tplc="C14ADE46">
      <w:start w:val="1"/>
      <w:numFmt w:val="bullet"/>
      <w:pStyle w:val="AERbulletlistthirdstyle"/>
      <w:lvlText w:val=""/>
      <w:lvlJc w:val="left"/>
      <w:pPr>
        <w:ind w:left="1077" w:hanging="360"/>
      </w:pPr>
      <w:rPr>
        <w:rFonts w:ascii="Wingdings" w:hAnsi="Wingdings" w:hint="default"/>
      </w:rPr>
    </w:lvl>
    <w:lvl w:ilvl="1" w:tplc="DE1EC976" w:tentative="1">
      <w:start w:val="1"/>
      <w:numFmt w:val="bullet"/>
      <w:lvlText w:val="o"/>
      <w:lvlJc w:val="left"/>
      <w:pPr>
        <w:ind w:left="1797" w:hanging="360"/>
      </w:pPr>
      <w:rPr>
        <w:rFonts w:ascii="Courier New" w:hAnsi="Courier New" w:cs="Courier New" w:hint="default"/>
      </w:rPr>
    </w:lvl>
    <w:lvl w:ilvl="2" w:tplc="4126C298" w:tentative="1">
      <w:start w:val="1"/>
      <w:numFmt w:val="bullet"/>
      <w:lvlText w:val=""/>
      <w:lvlJc w:val="left"/>
      <w:pPr>
        <w:ind w:left="2517" w:hanging="360"/>
      </w:pPr>
      <w:rPr>
        <w:rFonts w:ascii="Wingdings" w:hAnsi="Wingdings" w:hint="default"/>
      </w:rPr>
    </w:lvl>
    <w:lvl w:ilvl="3" w:tplc="DE6088AA" w:tentative="1">
      <w:start w:val="1"/>
      <w:numFmt w:val="bullet"/>
      <w:lvlText w:val=""/>
      <w:lvlJc w:val="left"/>
      <w:pPr>
        <w:ind w:left="3237" w:hanging="360"/>
      </w:pPr>
      <w:rPr>
        <w:rFonts w:ascii="Symbol" w:hAnsi="Symbol" w:hint="default"/>
      </w:rPr>
    </w:lvl>
    <w:lvl w:ilvl="4" w:tplc="45F666AA" w:tentative="1">
      <w:start w:val="1"/>
      <w:numFmt w:val="bullet"/>
      <w:lvlText w:val="o"/>
      <w:lvlJc w:val="left"/>
      <w:pPr>
        <w:ind w:left="3957" w:hanging="360"/>
      </w:pPr>
      <w:rPr>
        <w:rFonts w:ascii="Courier New" w:hAnsi="Courier New" w:cs="Courier New" w:hint="default"/>
      </w:rPr>
    </w:lvl>
    <w:lvl w:ilvl="5" w:tplc="0C86AF36" w:tentative="1">
      <w:start w:val="1"/>
      <w:numFmt w:val="bullet"/>
      <w:lvlText w:val=""/>
      <w:lvlJc w:val="left"/>
      <w:pPr>
        <w:ind w:left="4677" w:hanging="360"/>
      </w:pPr>
      <w:rPr>
        <w:rFonts w:ascii="Wingdings" w:hAnsi="Wingdings" w:hint="default"/>
      </w:rPr>
    </w:lvl>
    <w:lvl w:ilvl="6" w:tplc="3720320E" w:tentative="1">
      <w:start w:val="1"/>
      <w:numFmt w:val="bullet"/>
      <w:lvlText w:val=""/>
      <w:lvlJc w:val="left"/>
      <w:pPr>
        <w:ind w:left="5397" w:hanging="360"/>
      </w:pPr>
      <w:rPr>
        <w:rFonts w:ascii="Symbol" w:hAnsi="Symbol" w:hint="default"/>
      </w:rPr>
    </w:lvl>
    <w:lvl w:ilvl="7" w:tplc="9840705E" w:tentative="1">
      <w:start w:val="1"/>
      <w:numFmt w:val="bullet"/>
      <w:lvlText w:val="o"/>
      <w:lvlJc w:val="left"/>
      <w:pPr>
        <w:ind w:left="6117" w:hanging="360"/>
      </w:pPr>
      <w:rPr>
        <w:rFonts w:ascii="Courier New" w:hAnsi="Courier New" w:cs="Courier New" w:hint="default"/>
      </w:rPr>
    </w:lvl>
    <w:lvl w:ilvl="8" w:tplc="41249866" w:tentative="1">
      <w:start w:val="1"/>
      <w:numFmt w:val="bullet"/>
      <w:lvlText w:val=""/>
      <w:lvlJc w:val="left"/>
      <w:pPr>
        <w:ind w:left="6837" w:hanging="360"/>
      </w:pPr>
      <w:rPr>
        <w:rFonts w:ascii="Wingdings" w:hAnsi="Wingdings" w:hint="default"/>
      </w:rPr>
    </w:lvl>
  </w:abstractNum>
  <w:abstractNum w:abstractNumId="17">
    <w:nsid w:val="333E0E05"/>
    <w:multiLevelType w:val="multilevel"/>
    <w:tmpl w:val="1492709C"/>
    <w:numStyleLink w:val="AERHeadings"/>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9F35EAA"/>
    <w:multiLevelType w:val="multilevel"/>
    <w:tmpl w:val="EFFA08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3AF336BC"/>
    <w:multiLevelType w:val="hybridMultilevel"/>
    <w:tmpl w:val="955A02CC"/>
    <w:lvl w:ilvl="0" w:tplc="4358144E">
      <w:start w:val="1"/>
      <w:numFmt w:val="bullet"/>
      <w:pStyle w:val="AERbulletlistfirststyle"/>
      <w:lvlText w:val=""/>
      <w:lvlJc w:val="left"/>
      <w:pPr>
        <w:ind w:left="720" w:hanging="360"/>
      </w:pPr>
      <w:rPr>
        <w:rFonts w:ascii="Wingdings" w:hAnsi="Wingdings" w:hint="default"/>
      </w:rPr>
    </w:lvl>
    <w:lvl w:ilvl="1" w:tplc="5656B074" w:tentative="1">
      <w:start w:val="1"/>
      <w:numFmt w:val="bullet"/>
      <w:lvlText w:val="o"/>
      <w:lvlJc w:val="left"/>
      <w:pPr>
        <w:ind w:left="1440" w:hanging="360"/>
      </w:pPr>
      <w:rPr>
        <w:rFonts w:ascii="Courier New" w:hAnsi="Courier New" w:cs="Courier New" w:hint="default"/>
      </w:rPr>
    </w:lvl>
    <w:lvl w:ilvl="2" w:tplc="CAA4852C" w:tentative="1">
      <w:start w:val="1"/>
      <w:numFmt w:val="bullet"/>
      <w:lvlText w:val=""/>
      <w:lvlJc w:val="left"/>
      <w:pPr>
        <w:ind w:left="2160" w:hanging="360"/>
      </w:pPr>
      <w:rPr>
        <w:rFonts w:ascii="Wingdings" w:hAnsi="Wingdings" w:hint="default"/>
      </w:rPr>
    </w:lvl>
    <w:lvl w:ilvl="3" w:tplc="57E426C8" w:tentative="1">
      <w:start w:val="1"/>
      <w:numFmt w:val="bullet"/>
      <w:lvlText w:val=""/>
      <w:lvlJc w:val="left"/>
      <w:pPr>
        <w:ind w:left="2880" w:hanging="360"/>
      </w:pPr>
      <w:rPr>
        <w:rFonts w:ascii="Symbol" w:hAnsi="Symbol" w:hint="default"/>
      </w:rPr>
    </w:lvl>
    <w:lvl w:ilvl="4" w:tplc="4E383904" w:tentative="1">
      <w:start w:val="1"/>
      <w:numFmt w:val="bullet"/>
      <w:lvlText w:val="o"/>
      <w:lvlJc w:val="left"/>
      <w:pPr>
        <w:ind w:left="3600" w:hanging="360"/>
      </w:pPr>
      <w:rPr>
        <w:rFonts w:ascii="Courier New" w:hAnsi="Courier New" w:cs="Courier New" w:hint="default"/>
      </w:rPr>
    </w:lvl>
    <w:lvl w:ilvl="5" w:tplc="C9C2B032" w:tentative="1">
      <w:start w:val="1"/>
      <w:numFmt w:val="bullet"/>
      <w:lvlText w:val=""/>
      <w:lvlJc w:val="left"/>
      <w:pPr>
        <w:ind w:left="4320" w:hanging="360"/>
      </w:pPr>
      <w:rPr>
        <w:rFonts w:ascii="Wingdings" w:hAnsi="Wingdings" w:hint="default"/>
      </w:rPr>
    </w:lvl>
    <w:lvl w:ilvl="6" w:tplc="FCB41286" w:tentative="1">
      <w:start w:val="1"/>
      <w:numFmt w:val="bullet"/>
      <w:lvlText w:val=""/>
      <w:lvlJc w:val="left"/>
      <w:pPr>
        <w:ind w:left="5040" w:hanging="360"/>
      </w:pPr>
      <w:rPr>
        <w:rFonts w:ascii="Symbol" w:hAnsi="Symbol" w:hint="default"/>
      </w:rPr>
    </w:lvl>
    <w:lvl w:ilvl="7" w:tplc="0F5202E2" w:tentative="1">
      <w:start w:val="1"/>
      <w:numFmt w:val="bullet"/>
      <w:lvlText w:val="o"/>
      <w:lvlJc w:val="left"/>
      <w:pPr>
        <w:ind w:left="5760" w:hanging="360"/>
      </w:pPr>
      <w:rPr>
        <w:rFonts w:ascii="Courier New" w:hAnsi="Courier New" w:cs="Courier New" w:hint="default"/>
      </w:rPr>
    </w:lvl>
    <w:lvl w:ilvl="8" w:tplc="EA987160" w:tentative="1">
      <w:start w:val="1"/>
      <w:numFmt w:val="bullet"/>
      <w:lvlText w:val=""/>
      <w:lvlJc w:val="left"/>
      <w:pPr>
        <w:ind w:left="6480" w:hanging="360"/>
      </w:pPr>
      <w:rPr>
        <w:rFonts w:ascii="Wingdings" w:hAnsi="Wingdings" w:hint="default"/>
      </w:rPr>
    </w:lvl>
  </w:abstractNum>
  <w:abstractNum w:abstractNumId="21">
    <w:nsid w:val="3BE6196B"/>
    <w:multiLevelType w:val="hybridMultilevel"/>
    <w:tmpl w:val="CC80FAD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3C721288"/>
    <w:multiLevelType w:val="multilevel"/>
    <w:tmpl w:val="1492709C"/>
    <w:numStyleLink w:val="AERHeadings"/>
  </w:abstractNum>
  <w:abstractNum w:abstractNumId="23">
    <w:nsid w:val="443F74CB"/>
    <w:multiLevelType w:val="hybridMultilevel"/>
    <w:tmpl w:val="5FB40038"/>
    <w:lvl w:ilvl="0" w:tplc="6A080FC8">
      <w:start w:val="1"/>
      <w:numFmt w:val="decimal"/>
      <w:lvlText w:val="%1."/>
      <w:lvlJc w:val="left"/>
      <w:pPr>
        <w:tabs>
          <w:tab w:val="num" w:pos="357"/>
        </w:tabs>
        <w:ind w:left="357" w:hanging="357"/>
      </w:pPr>
      <w:rPr>
        <w:rFonts w:ascii="Gautami" w:hAnsi="Gautami" w:hint="default"/>
        <w:b w:val="0"/>
        <w:i w:val="0"/>
        <w:sz w:val="22"/>
      </w:rPr>
    </w:lvl>
    <w:lvl w:ilvl="1" w:tplc="A740B04C">
      <w:start w:val="1"/>
      <w:numFmt w:val="bullet"/>
      <w:lvlText w:val=""/>
      <w:lvlJc w:val="left"/>
      <w:pPr>
        <w:tabs>
          <w:tab w:val="num" w:pos="4498"/>
        </w:tabs>
        <w:ind w:left="4498" w:hanging="358"/>
      </w:pPr>
      <w:rPr>
        <w:rFonts w:ascii="Wingdings" w:hAnsi="Wingdings" w:hint="default"/>
        <w:b w:val="0"/>
        <w:i w:val="0"/>
        <w:sz w:val="22"/>
      </w:rPr>
    </w:lvl>
    <w:lvl w:ilvl="2" w:tplc="DE72463A" w:tentative="1">
      <w:start w:val="1"/>
      <w:numFmt w:val="lowerRoman"/>
      <w:lvlText w:val="%3."/>
      <w:lvlJc w:val="right"/>
      <w:pPr>
        <w:tabs>
          <w:tab w:val="num" w:pos="5220"/>
        </w:tabs>
        <w:ind w:left="5220" w:hanging="180"/>
      </w:pPr>
    </w:lvl>
    <w:lvl w:ilvl="3" w:tplc="76B2052E" w:tentative="1">
      <w:start w:val="1"/>
      <w:numFmt w:val="decimal"/>
      <w:lvlText w:val="%4."/>
      <w:lvlJc w:val="left"/>
      <w:pPr>
        <w:tabs>
          <w:tab w:val="num" w:pos="5940"/>
        </w:tabs>
        <w:ind w:left="5940" w:hanging="360"/>
      </w:pPr>
    </w:lvl>
    <w:lvl w:ilvl="4" w:tplc="04F8049A">
      <w:start w:val="1"/>
      <w:numFmt w:val="lowerLetter"/>
      <w:lvlText w:val="%5."/>
      <w:lvlJc w:val="left"/>
      <w:pPr>
        <w:tabs>
          <w:tab w:val="num" w:pos="6660"/>
        </w:tabs>
        <w:ind w:left="6660" w:hanging="360"/>
      </w:pPr>
    </w:lvl>
    <w:lvl w:ilvl="5" w:tplc="C3564BC4">
      <w:start w:val="1"/>
      <w:numFmt w:val="lowerRoman"/>
      <w:lvlText w:val="%6."/>
      <w:lvlJc w:val="right"/>
      <w:pPr>
        <w:tabs>
          <w:tab w:val="num" w:pos="7380"/>
        </w:tabs>
        <w:ind w:left="7380" w:hanging="180"/>
      </w:pPr>
    </w:lvl>
    <w:lvl w:ilvl="6" w:tplc="FADEAEB4" w:tentative="1">
      <w:start w:val="1"/>
      <w:numFmt w:val="decimal"/>
      <w:lvlText w:val="%7."/>
      <w:lvlJc w:val="left"/>
      <w:pPr>
        <w:tabs>
          <w:tab w:val="num" w:pos="8100"/>
        </w:tabs>
        <w:ind w:left="8100" w:hanging="360"/>
      </w:pPr>
    </w:lvl>
    <w:lvl w:ilvl="7" w:tplc="DA348FB0" w:tentative="1">
      <w:start w:val="1"/>
      <w:numFmt w:val="lowerLetter"/>
      <w:lvlText w:val="%8."/>
      <w:lvlJc w:val="left"/>
      <w:pPr>
        <w:tabs>
          <w:tab w:val="num" w:pos="8820"/>
        </w:tabs>
        <w:ind w:left="8820" w:hanging="360"/>
      </w:pPr>
    </w:lvl>
    <w:lvl w:ilvl="8" w:tplc="DFFEC3E8" w:tentative="1">
      <w:start w:val="1"/>
      <w:numFmt w:val="lowerRoman"/>
      <w:lvlText w:val="%9."/>
      <w:lvlJc w:val="right"/>
      <w:pPr>
        <w:tabs>
          <w:tab w:val="num" w:pos="9540"/>
        </w:tabs>
        <w:ind w:left="9540" w:hanging="180"/>
      </w:pPr>
    </w:lvl>
  </w:abstractNum>
  <w:abstractNum w:abstractNumId="24">
    <w:nsid w:val="4F037C49"/>
    <w:multiLevelType w:val="multilevel"/>
    <w:tmpl w:val="B478DFE6"/>
    <w:numStyleLink w:val="AERnumberedlist"/>
  </w:abstractNum>
  <w:abstractNum w:abstractNumId="25">
    <w:nsid w:val="51487971"/>
    <w:multiLevelType w:val="multilevel"/>
    <w:tmpl w:val="B478DFE6"/>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357"/>
        </w:tabs>
        <w:ind w:left="357" w:hanging="357"/>
      </w:pPr>
      <w:rPr>
        <w:rFonts w:hint="default"/>
      </w:rPr>
    </w:lvl>
    <w:lvl w:ilvl="5">
      <w:start w:val="1"/>
      <w:numFmt w:val="lowerLetter"/>
      <w:lvlRestart w:val="2"/>
      <w:pStyle w:val="AERnumberedlist2second"/>
      <w:lvlText w:val="(%6)"/>
      <w:lvlJc w:val="left"/>
      <w:pPr>
        <w:tabs>
          <w:tab w:val="num" w:pos="720"/>
        </w:tabs>
        <w:ind w:left="720" w:hanging="363"/>
      </w:pPr>
      <w:rPr>
        <w:rFonts w:hint="default"/>
      </w:rPr>
    </w:lvl>
    <w:lvl w:ilvl="6">
      <w:start w:val="1"/>
      <w:numFmt w:val="lowerRoman"/>
      <w:lvlRestart w:val="3"/>
      <w:pStyle w:val="AERnumberedlist2third"/>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1807103"/>
    <w:multiLevelType w:val="multilevel"/>
    <w:tmpl w:val="B478DFE6"/>
    <w:numStyleLink w:val="AERnumberedlist"/>
  </w:abstractNum>
  <w:abstractNum w:abstractNumId="27">
    <w:nsid w:val="5D386EA7"/>
    <w:multiLevelType w:val="multilevel"/>
    <w:tmpl w:val="1492709C"/>
    <w:numStyleLink w:val="AERHeadings"/>
  </w:abstractNum>
  <w:abstractNum w:abstractNumId="28">
    <w:nsid w:val="5DCC1B18"/>
    <w:multiLevelType w:val="multilevel"/>
    <w:tmpl w:val="B478DFE6"/>
    <w:numStyleLink w:val="AERnumberedlist"/>
  </w:abstractNum>
  <w:abstractNum w:abstractNumId="29">
    <w:nsid w:val="68247CF7"/>
    <w:multiLevelType w:val="multilevel"/>
    <w:tmpl w:val="1492709C"/>
    <w:numStyleLink w:val="AERHeadings"/>
  </w:abstractNum>
  <w:abstractNum w:abstractNumId="30">
    <w:nsid w:val="69315B1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72156C5C"/>
    <w:multiLevelType w:val="multilevel"/>
    <w:tmpl w:val="9BC8F55C"/>
    <w:lvl w:ilvl="0">
      <w:start w:val="1"/>
      <w:numFmt w:val="bullet"/>
      <w:lvlText w:val=""/>
      <w:lvlJc w:val="left"/>
      <w:pPr>
        <w:tabs>
          <w:tab w:val="num" w:pos="357"/>
        </w:tabs>
        <w:ind w:left="357" w:hanging="357"/>
      </w:pPr>
      <w:rPr>
        <w:rFonts w:ascii="Wingdings" w:hAnsi="Wingdings" w:hint="default"/>
        <w:sz w:val="28"/>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74595980"/>
    <w:multiLevelType w:val="multilevel"/>
    <w:tmpl w:val="1492709C"/>
    <w:numStyleLink w:val="AERHeadings"/>
  </w:abstractNum>
  <w:abstractNum w:abstractNumId="33">
    <w:nsid w:val="74F81DDF"/>
    <w:multiLevelType w:val="multilevel"/>
    <w:tmpl w:val="1492709C"/>
    <w:numStyleLink w:val="AERHeadings"/>
  </w:abstractNum>
  <w:abstractNum w:abstractNumId="34">
    <w:nsid w:val="787F66A4"/>
    <w:multiLevelType w:val="multilevel"/>
    <w:tmpl w:val="1492709C"/>
    <w:numStyleLink w:val="AERHeadings"/>
  </w:abstractNum>
  <w:abstractNum w:abstractNumId="35">
    <w:nsid w:val="7AEA3AE1"/>
    <w:multiLevelType w:val="hybridMultilevel"/>
    <w:tmpl w:val="52969776"/>
    <w:lvl w:ilvl="0" w:tplc="66BA7E1E">
      <w:start w:val="1"/>
      <w:numFmt w:val="bullet"/>
      <w:pStyle w:val="AERquotebullet1"/>
      <w:lvlText w:val=""/>
      <w:lvlJc w:val="left"/>
      <w:pPr>
        <w:ind w:left="720" w:hanging="360"/>
      </w:pPr>
      <w:rPr>
        <w:rFonts w:ascii="Wingdings" w:hAnsi="Wingdings" w:hint="default"/>
      </w:rPr>
    </w:lvl>
    <w:lvl w:ilvl="1" w:tplc="B8169E70" w:tentative="1">
      <w:start w:val="1"/>
      <w:numFmt w:val="bullet"/>
      <w:lvlText w:val="o"/>
      <w:lvlJc w:val="left"/>
      <w:pPr>
        <w:ind w:left="1440" w:hanging="360"/>
      </w:pPr>
      <w:rPr>
        <w:rFonts w:ascii="Courier New" w:hAnsi="Courier New" w:cs="Courier New" w:hint="default"/>
      </w:rPr>
    </w:lvl>
    <w:lvl w:ilvl="2" w:tplc="961E6C3C" w:tentative="1">
      <w:start w:val="1"/>
      <w:numFmt w:val="bullet"/>
      <w:lvlText w:val=""/>
      <w:lvlJc w:val="left"/>
      <w:pPr>
        <w:ind w:left="2160" w:hanging="360"/>
      </w:pPr>
      <w:rPr>
        <w:rFonts w:ascii="Wingdings" w:hAnsi="Wingdings" w:hint="default"/>
      </w:rPr>
    </w:lvl>
    <w:lvl w:ilvl="3" w:tplc="D100AC2C" w:tentative="1">
      <w:start w:val="1"/>
      <w:numFmt w:val="bullet"/>
      <w:lvlText w:val=""/>
      <w:lvlJc w:val="left"/>
      <w:pPr>
        <w:ind w:left="2880" w:hanging="360"/>
      </w:pPr>
      <w:rPr>
        <w:rFonts w:ascii="Symbol" w:hAnsi="Symbol" w:hint="default"/>
      </w:rPr>
    </w:lvl>
    <w:lvl w:ilvl="4" w:tplc="84461800" w:tentative="1">
      <w:start w:val="1"/>
      <w:numFmt w:val="bullet"/>
      <w:lvlText w:val="o"/>
      <w:lvlJc w:val="left"/>
      <w:pPr>
        <w:ind w:left="3600" w:hanging="360"/>
      </w:pPr>
      <w:rPr>
        <w:rFonts w:ascii="Courier New" w:hAnsi="Courier New" w:cs="Courier New" w:hint="default"/>
      </w:rPr>
    </w:lvl>
    <w:lvl w:ilvl="5" w:tplc="00E0DB90" w:tentative="1">
      <w:start w:val="1"/>
      <w:numFmt w:val="bullet"/>
      <w:lvlText w:val=""/>
      <w:lvlJc w:val="left"/>
      <w:pPr>
        <w:ind w:left="4320" w:hanging="360"/>
      </w:pPr>
      <w:rPr>
        <w:rFonts w:ascii="Wingdings" w:hAnsi="Wingdings" w:hint="default"/>
      </w:rPr>
    </w:lvl>
    <w:lvl w:ilvl="6" w:tplc="DD4C4B34" w:tentative="1">
      <w:start w:val="1"/>
      <w:numFmt w:val="bullet"/>
      <w:lvlText w:val=""/>
      <w:lvlJc w:val="left"/>
      <w:pPr>
        <w:ind w:left="5040" w:hanging="360"/>
      </w:pPr>
      <w:rPr>
        <w:rFonts w:ascii="Symbol" w:hAnsi="Symbol" w:hint="default"/>
      </w:rPr>
    </w:lvl>
    <w:lvl w:ilvl="7" w:tplc="724420F6" w:tentative="1">
      <w:start w:val="1"/>
      <w:numFmt w:val="bullet"/>
      <w:lvlText w:val="o"/>
      <w:lvlJc w:val="left"/>
      <w:pPr>
        <w:ind w:left="5760" w:hanging="360"/>
      </w:pPr>
      <w:rPr>
        <w:rFonts w:ascii="Courier New" w:hAnsi="Courier New" w:cs="Courier New" w:hint="default"/>
      </w:rPr>
    </w:lvl>
    <w:lvl w:ilvl="8" w:tplc="C8EEEBC2" w:tentative="1">
      <w:start w:val="1"/>
      <w:numFmt w:val="bullet"/>
      <w:lvlText w:val=""/>
      <w:lvlJc w:val="left"/>
      <w:pPr>
        <w:ind w:left="6480" w:hanging="360"/>
      </w:pPr>
      <w:rPr>
        <w:rFonts w:ascii="Wingdings" w:hAnsi="Wingdings" w:hint="default"/>
      </w:rPr>
    </w:lvl>
  </w:abstractNum>
  <w:abstractNum w:abstractNumId="36">
    <w:nsid w:val="7BE97BF8"/>
    <w:multiLevelType w:val="multilevel"/>
    <w:tmpl w:val="1492709C"/>
    <w:numStyleLink w:val="AERHeadings"/>
  </w:abstractNum>
  <w:abstractNum w:abstractNumId="37">
    <w:nsid w:val="7CDA0F5F"/>
    <w:multiLevelType w:val="multilevel"/>
    <w:tmpl w:val="1492709C"/>
    <w:numStyleLink w:val="AERHeadings"/>
  </w:abstractNum>
  <w:num w:numId="1">
    <w:abstractNumId w:val="30"/>
  </w:num>
  <w:num w:numId="2">
    <w:abstractNumId w:val="14"/>
  </w:num>
  <w:num w:numId="3">
    <w:abstractNumId w:val="23"/>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3"/>
    <w:lvlOverride w:ilvl="0">
      <w:startOverride w:val="1"/>
    </w:lvlOverride>
  </w:num>
  <w:num w:numId="7">
    <w:abstractNumId w:val="20"/>
  </w:num>
  <w:num w:numId="8">
    <w:abstractNumId w:val="16"/>
  </w:num>
  <w:num w:numId="9">
    <w:abstractNumId w:val="35"/>
  </w:num>
  <w:num w:numId="10">
    <w:abstractNumId w:val="23"/>
    <w:lvlOverride w:ilvl="0">
      <w:startOverride w:val="1"/>
    </w:lvlOverride>
  </w:num>
  <w:num w:numId="11">
    <w:abstractNumId w:val="1"/>
  </w:num>
  <w:num w:numId="12">
    <w:abstractNumId w:val="23"/>
    <w:lvlOverride w:ilvl="0">
      <w:startOverride w:val="1"/>
    </w:lvlOverride>
  </w:num>
  <w:num w:numId="13">
    <w:abstractNumId w:val="25"/>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
  </w:num>
  <w:num w:numId="17">
    <w:abstractNumId w:val="24"/>
  </w:num>
  <w:num w:numId="18">
    <w:abstractNumId w:val="7"/>
  </w:num>
  <w:num w:numId="19">
    <w:abstractNumId w:val="9"/>
  </w:num>
  <w:num w:numId="20">
    <w:abstractNumId w:val="33"/>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37"/>
  </w:num>
  <w:num w:numId="28">
    <w:abstractNumId w:val="17"/>
  </w:num>
  <w:num w:numId="29">
    <w:abstractNumId w:val="10"/>
  </w:num>
  <w:num w:numId="30">
    <w:abstractNumId w:val="5"/>
  </w:num>
  <w:num w:numId="31">
    <w:abstractNumId w:val="0"/>
  </w:num>
  <w:num w:numId="32">
    <w:abstractNumId w:val="6"/>
  </w:num>
  <w:num w:numId="33">
    <w:abstractNumId w:val="34"/>
  </w:num>
  <w:num w:numId="34">
    <w:abstractNumId w:val="29"/>
  </w:num>
  <w:num w:numId="35">
    <w:abstractNumId w:val="32"/>
  </w:num>
  <w:num w:numId="36">
    <w:abstractNumId w:val="36"/>
  </w:num>
  <w:num w:numId="37">
    <w:abstractNumId w:val="27"/>
  </w:num>
  <w:num w:numId="38">
    <w:abstractNumId w:val="12"/>
  </w:num>
  <w:num w:numId="39">
    <w:abstractNumId w:val="13"/>
  </w:num>
  <w:num w:numId="40">
    <w:abstractNumId w:val="22"/>
  </w:num>
  <w:num w:numId="41">
    <w:abstractNumId w:val="26"/>
  </w:num>
  <w:num w:numId="42">
    <w:abstractNumId w:val="4"/>
  </w:num>
  <w:num w:numId="43">
    <w:abstractNumId w:val="31"/>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ocumentProtection w:formatting="1" w:enforcement="1" w:cryptProviderType="rsaFull" w:cryptAlgorithmClass="hash" w:cryptAlgorithmType="typeAny" w:cryptAlgorithmSid="4" w:cryptSpinCount="100000" w:hash="FdJumeOAsXjIPrPEHyGJPxTUi8E=" w:salt="C7k1PMGiQqavp5qZ4KAm7g=="/>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urrentname" w:val="H:\TRIMDATA\TRIM\TEMP\CONTEXT.5948\D12 162863  AER Determination - Advanced Metering Infrastructure 2013 revised charges - 31 October 2012.DOC"/>
  </w:docVars>
  <w:rsids>
    <w:rsidRoot w:val="000C052F"/>
    <w:rsid w:val="00023B96"/>
    <w:rsid w:val="00025843"/>
    <w:rsid w:val="00040599"/>
    <w:rsid w:val="00040749"/>
    <w:rsid w:val="000828CE"/>
    <w:rsid w:val="000A1CC2"/>
    <w:rsid w:val="000A5342"/>
    <w:rsid w:val="000B15CA"/>
    <w:rsid w:val="000C052F"/>
    <w:rsid w:val="000C3430"/>
    <w:rsid w:val="000D03C2"/>
    <w:rsid w:val="000D04B1"/>
    <w:rsid w:val="000D4058"/>
    <w:rsid w:val="000E1A25"/>
    <w:rsid w:val="000F3A6A"/>
    <w:rsid w:val="001033B3"/>
    <w:rsid w:val="00105636"/>
    <w:rsid w:val="001348C1"/>
    <w:rsid w:val="00134BAA"/>
    <w:rsid w:val="001418ED"/>
    <w:rsid w:val="001448B8"/>
    <w:rsid w:val="001543D2"/>
    <w:rsid w:val="00155BB5"/>
    <w:rsid w:val="00174026"/>
    <w:rsid w:val="001856EE"/>
    <w:rsid w:val="00194C3C"/>
    <w:rsid w:val="001C12E5"/>
    <w:rsid w:val="001F787E"/>
    <w:rsid w:val="0020711E"/>
    <w:rsid w:val="00210880"/>
    <w:rsid w:val="002257B9"/>
    <w:rsid w:val="0023137D"/>
    <w:rsid w:val="00262EC4"/>
    <w:rsid w:val="00266710"/>
    <w:rsid w:val="002938CE"/>
    <w:rsid w:val="0029670E"/>
    <w:rsid w:val="002B6640"/>
    <w:rsid w:val="002D61AC"/>
    <w:rsid w:val="00303452"/>
    <w:rsid w:val="00311AF3"/>
    <w:rsid w:val="003324F7"/>
    <w:rsid w:val="00334F88"/>
    <w:rsid w:val="003707DB"/>
    <w:rsid w:val="00375AEC"/>
    <w:rsid w:val="00376236"/>
    <w:rsid w:val="0037652C"/>
    <w:rsid w:val="003800E4"/>
    <w:rsid w:val="00380FF5"/>
    <w:rsid w:val="003A6174"/>
    <w:rsid w:val="003E107E"/>
    <w:rsid w:val="004030AB"/>
    <w:rsid w:val="00412282"/>
    <w:rsid w:val="004256BA"/>
    <w:rsid w:val="00431999"/>
    <w:rsid w:val="00435682"/>
    <w:rsid w:val="00464F5D"/>
    <w:rsid w:val="00470746"/>
    <w:rsid w:val="00474FBD"/>
    <w:rsid w:val="0048024D"/>
    <w:rsid w:val="00491D7D"/>
    <w:rsid w:val="00497816"/>
    <w:rsid w:val="004C3F45"/>
    <w:rsid w:val="004E40EF"/>
    <w:rsid w:val="004F76A0"/>
    <w:rsid w:val="00500E7F"/>
    <w:rsid w:val="0052179D"/>
    <w:rsid w:val="005456A9"/>
    <w:rsid w:val="00555D52"/>
    <w:rsid w:val="005566D7"/>
    <w:rsid w:val="00561846"/>
    <w:rsid w:val="00561F7F"/>
    <w:rsid w:val="00566B35"/>
    <w:rsid w:val="005732CC"/>
    <w:rsid w:val="00575422"/>
    <w:rsid w:val="00581459"/>
    <w:rsid w:val="005938C6"/>
    <w:rsid w:val="005B1984"/>
    <w:rsid w:val="005B3752"/>
    <w:rsid w:val="005B61C2"/>
    <w:rsid w:val="005C79E8"/>
    <w:rsid w:val="005D26B7"/>
    <w:rsid w:val="005D4AA1"/>
    <w:rsid w:val="005D55CA"/>
    <w:rsid w:val="0060146C"/>
    <w:rsid w:val="006039F2"/>
    <w:rsid w:val="006061B0"/>
    <w:rsid w:val="0060732E"/>
    <w:rsid w:val="006076A9"/>
    <w:rsid w:val="00611488"/>
    <w:rsid w:val="006544EA"/>
    <w:rsid w:val="0066569F"/>
    <w:rsid w:val="0069004B"/>
    <w:rsid w:val="006B08EB"/>
    <w:rsid w:val="006B481F"/>
    <w:rsid w:val="006F638E"/>
    <w:rsid w:val="00703E42"/>
    <w:rsid w:val="007368AD"/>
    <w:rsid w:val="00750498"/>
    <w:rsid w:val="00751D2A"/>
    <w:rsid w:val="00755095"/>
    <w:rsid w:val="00767F67"/>
    <w:rsid w:val="00796A07"/>
    <w:rsid w:val="007F10E3"/>
    <w:rsid w:val="007F2C0E"/>
    <w:rsid w:val="00836D17"/>
    <w:rsid w:val="00840A55"/>
    <w:rsid w:val="00841E25"/>
    <w:rsid w:val="008464CD"/>
    <w:rsid w:val="008515EE"/>
    <w:rsid w:val="00861C4E"/>
    <w:rsid w:val="00866D21"/>
    <w:rsid w:val="00872422"/>
    <w:rsid w:val="00883DDA"/>
    <w:rsid w:val="00891FF9"/>
    <w:rsid w:val="008922C4"/>
    <w:rsid w:val="00893367"/>
    <w:rsid w:val="008C3B67"/>
    <w:rsid w:val="008D213E"/>
    <w:rsid w:val="008D49B4"/>
    <w:rsid w:val="008D7498"/>
    <w:rsid w:val="009133F3"/>
    <w:rsid w:val="00932E96"/>
    <w:rsid w:val="009418E6"/>
    <w:rsid w:val="0094235F"/>
    <w:rsid w:val="0094279F"/>
    <w:rsid w:val="00946B98"/>
    <w:rsid w:val="00964F3F"/>
    <w:rsid w:val="009658F0"/>
    <w:rsid w:val="00971C63"/>
    <w:rsid w:val="009A4AE9"/>
    <w:rsid w:val="009A5D9F"/>
    <w:rsid w:val="009C71D5"/>
    <w:rsid w:val="009E5D1F"/>
    <w:rsid w:val="009F7CE4"/>
    <w:rsid w:val="00A11162"/>
    <w:rsid w:val="00A43227"/>
    <w:rsid w:val="00A65133"/>
    <w:rsid w:val="00A652C5"/>
    <w:rsid w:val="00A96A08"/>
    <w:rsid w:val="00AA0161"/>
    <w:rsid w:val="00AB1D08"/>
    <w:rsid w:val="00AB4345"/>
    <w:rsid w:val="00AB5BD7"/>
    <w:rsid w:val="00AC0135"/>
    <w:rsid w:val="00AC070D"/>
    <w:rsid w:val="00AD0616"/>
    <w:rsid w:val="00AD34FF"/>
    <w:rsid w:val="00AD3918"/>
    <w:rsid w:val="00AD4DE6"/>
    <w:rsid w:val="00AF3E95"/>
    <w:rsid w:val="00B15FE9"/>
    <w:rsid w:val="00B51883"/>
    <w:rsid w:val="00B545BE"/>
    <w:rsid w:val="00B674DB"/>
    <w:rsid w:val="00B82E8D"/>
    <w:rsid w:val="00B9264D"/>
    <w:rsid w:val="00BB3FA1"/>
    <w:rsid w:val="00BB62BB"/>
    <w:rsid w:val="00BC05C5"/>
    <w:rsid w:val="00BE6F28"/>
    <w:rsid w:val="00BF29FA"/>
    <w:rsid w:val="00C04D2B"/>
    <w:rsid w:val="00C53533"/>
    <w:rsid w:val="00CA3540"/>
    <w:rsid w:val="00CA6DED"/>
    <w:rsid w:val="00CB1CBF"/>
    <w:rsid w:val="00CE6F5A"/>
    <w:rsid w:val="00CF42CF"/>
    <w:rsid w:val="00D102E9"/>
    <w:rsid w:val="00D1688F"/>
    <w:rsid w:val="00D2117F"/>
    <w:rsid w:val="00D23B60"/>
    <w:rsid w:val="00D25317"/>
    <w:rsid w:val="00D34907"/>
    <w:rsid w:val="00D66E8B"/>
    <w:rsid w:val="00D85715"/>
    <w:rsid w:val="00D8706C"/>
    <w:rsid w:val="00DA4C62"/>
    <w:rsid w:val="00DB6A17"/>
    <w:rsid w:val="00DD5520"/>
    <w:rsid w:val="00E00F76"/>
    <w:rsid w:val="00E21E75"/>
    <w:rsid w:val="00E807DA"/>
    <w:rsid w:val="00E84E3A"/>
    <w:rsid w:val="00EA05AF"/>
    <w:rsid w:val="00EC43B9"/>
    <w:rsid w:val="00ED4D69"/>
    <w:rsid w:val="00EE362F"/>
    <w:rsid w:val="00F114AE"/>
    <w:rsid w:val="00F13460"/>
    <w:rsid w:val="00F43CA0"/>
    <w:rsid w:val="00F55030"/>
    <w:rsid w:val="00F7696F"/>
    <w:rsid w:val="00FA0576"/>
    <w:rsid w:val="00FB50B4"/>
    <w:rsid w:val="00FD4B97"/>
    <w:rsid w:val="00FE55EB"/>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locked="0" w:semiHidden="0" w:uiPriority="9" w:unhideWhenUsed="0"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uiPriority="0" w:qFormat="1"/>
    <w:lsdException w:name="header" w:locked="0"/>
    <w:lsdException w:name="footer" w:locked="0" w:qFormat="1"/>
    <w:lsdException w:name="caption" w:locked="0" w:uiPriority="35" w:qFormat="1"/>
    <w:lsdException w:name="footnote reference" w:locked="0" w:uiPriority="0"/>
    <w:lsdException w:name="page number" w:locked="0"/>
    <w:lsdException w:name="Title" w:uiPriority="10"/>
    <w:lsdException w:name="Default Paragraph Font" w:locked="0" w:uiPriority="1"/>
    <w:lsdException w:name="Subtitle" w:uiPriority="11" w:qFormat="1"/>
    <w:lsdException w:name="Hyperlink" w:locked="0"/>
    <w:lsdException w:name="Strong" w:uiPriority="22" w:qFormat="1"/>
    <w:lsdException w:name="Emphasis" w:uiPriority="20" w:qFormat="1"/>
    <w:lsdException w:name="HTML Top of Form" w:locked="0"/>
    <w:lsdException w:name="HTML Bottom of Form" w:locked="0"/>
    <w:lsdException w:name="Normal Table" w:locked="0"/>
    <w:lsdException w:name="No List" w:locked="0"/>
    <w:lsdException w:name="Table Grid" w:locked="0" w:semiHidden="0" w:uiPriority="59"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8922C4"/>
    <w:pPr>
      <w:spacing w:after="240" w:line="288" w:lineRule="auto"/>
      <w:jc w:val="both"/>
    </w:pPr>
    <w:rPr>
      <w:lang w:eastAsia="en-US"/>
    </w:rPr>
  </w:style>
  <w:style w:type="paragraph" w:styleId="Heading1">
    <w:name w:val="heading 1"/>
    <w:next w:val="AERbodytext"/>
    <w:link w:val="Heading1Char"/>
    <w:uiPriority w:val="9"/>
    <w:qFormat/>
    <w:rsid w:val="0069004B"/>
    <w:pPr>
      <w:keepNext/>
      <w:keepLines/>
      <w:pageBreakBefore/>
      <w:numPr>
        <w:ilvl w:val="1"/>
        <w:numId w:val="40"/>
      </w:numPr>
      <w:spacing w:before="120" w:after="120" w:line="288" w:lineRule="auto"/>
      <w:jc w:val="both"/>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qFormat/>
    <w:rsid w:val="00D2117F"/>
    <w:pPr>
      <w:keepNext/>
      <w:numPr>
        <w:numId w:val="0"/>
      </w:numPr>
      <w:outlineLvl w:val="3"/>
    </w:pPr>
    <w:rPr>
      <w:b/>
      <w:iCs/>
      <w:color w:val="365F91"/>
      <w:sz w:val="22"/>
    </w:rPr>
  </w:style>
  <w:style w:type="paragraph" w:styleId="Heading5">
    <w:name w:val="heading 5"/>
    <w:basedOn w:val="Heading4"/>
    <w:next w:val="AERbodytext"/>
    <w:link w:val="Heading5Char"/>
    <w:uiPriority w:val="9"/>
    <w:qFormat/>
    <w:rsid w:val="0066569F"/>
    <w:pPr>
      <w:numPr>
        <w:ilvl w:val="5"/>
      </w:numPr>
      <w:outlineLvl w:val="4"/>
    </w:pPr>
    <w:rPr>
      <w:i/>
      <w:color w:val="000000"/>
      <w:sz w:val="20"/>
    </w:rPr>
  </w:style>
  <w:style w:type="paragraph" w:styleId="Heading6">
    <w:name w:val="heading 6"/>
    <w:basedOn w:val="Heading5"/>
    <w:next w:val="AERbodytext"/>
    <w:link w:val="Heading6Char"/>
    <w:uiPriority w:val="9"/>
    <w:qFormat/>
    <w:rsid w:val="000A1CC2"/>
    <w:pPr>
      <w:numPr>
        <w:ilvl w:val="6"/>
      </w:numPr>
      <w:outlineLvl w:val="5"/>
    </w:pPr>
    <w:rPr>
      <w:b w:val="0"/>
      <w:iCs w:val="0"/>
      <w:color w:val="auto"/>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69004B"/>
    <w:pPr>
      <w:numPr>
        <w:numId w:val="2"/>
      </w:numPr>
    </w:pPr>
  </w:style>
  <w:style w:type="character" w:customStyle="1" w:styleId="Heading1Char">
    <w:name w:val="Heading 1 Char"/>
    <w:basedOn w:val="DefaultParagraphFont"/>
    <w:link w:val="Heading1"/>
    <w:uiPriority w:val="9"/>
    <w:rsid w:val="0069004B"/>
    <w:rPr>
      <w:rFonts w:eastAsia="Times New Roman"/>
      <w:b/>
      <w:bCs/>
      <w:color w:val="E36C0A"/>
      <w:sz w:val="36"/>
      <w:szCs w:val="28"/>
      <w:lang w:val="en-AU" w:eastAsia="en-US" w:bidi="ar-SA"/>
    </w:rPr>
  </w:style>
  <w:style w:type="character" w:customStyle="1" w:styleId="Heading2Char">
    <w:name w:val="Heading 2 Char"/>
    <w:basedOn w:val="DefaultParagraphFont"/>
    <w:link w:val="Heading2"/>
    <w:uiPriority w:val="9"/>
    <w:rsid w:val="000A1CC2"/>
    <w:rPr>
      <w:rFonts w:ascii="Gautami" w:eastAsia="Times New Roman" w:hAnsi="Gautami" w:cs="Times New Roman"/>
      <w:b/>
      <w:color w:val="F79646"/>
      <w:sz w:val="28"/>
      <w:szCs w:val="26"/>
    </w:rPr>
  </w:style>
  <w:style w:type="character" w:customStyle="1" w:styleId="Heading3Char">
    <w:name w:val="Heading 3 Char"/>
    <w:basedOn w:val="DefaultParagraphFont"/>
    <w:link w:val="Heading3"/>
    <w:uiPriority w:val="9"/>
    <w:rsid w:val="000A1CC2"/>
    <w:rPr>
      <w:rFonts w:ascii="Gautami" w:eastAsia="Times New Roman" w:hAnsi="Gautami" w:cs="Times New Roman"/>
      <w:b/>
      <w:bCs/>
      <w:color w:val="F79646"/>
      <w:sz w:val="24"/>
      <w:szCs w:val="26"/>
    </w:rPr>
  </w:style>
  <w:style w:type="character" w:customStyle="1" w:styleId="Heading4Char">
    <w:name w:val="Heading 4 Char"/>
    <w:basedOn w:val="DefaultParagraphFont"/>
    <w:link w:val="Heading4"/>
    <w:uiPriority w:val="9"/>
    <w:rsid w:val="00D2117F"/>
    <w:rPr>
      <w:rFonts w:eastAsia="Times New Roman" w:cs="Times New Roman"/>
      <w:b/>
      <w:iCs/>
      <w:color w:val="365F91"/>
      <w:sz w:val="22"/>
      <w:szCs w:val="24"/>
    </w:rPr>
  </w:style>
  <w:style w:type="character" w:customStyle="1" w:styleId="Heading5Char">
    <w:name w:val="Heading 5 Char"/>
    <w:basedOn w:val="DefaultParagraphFont"/>
    <w:link w:val="Heading5"/>
    <w:uiPriority w:val="9"/>
    <w:rsid w:val="0066569F"/>
    <w:rPr>
      <w:rFonts w:ascii="Gautami" w:eastAsia="Times New Roman" w:hAnsi="Gautami" w:cs="Times New Roman"/>
      <w:b/>
      <w:i/>
      <w:iCs/>
      <w:color w:val="000000"/>
      <w:sz w:val="20"/>
      <w:szCs w:val="24"/>
    </w:rPr>
  </w:style>
  <w:style w:type="character" w:customStyle="1" w:styleId="Heading6Char">
    <w:name w:val="Heading 6 Char"/>
    <w:basedOn w:val="DefaultParagraphFont"/>
    <w:link w:val="Heading6"/>
    <w:uiPriority w:val="9"/>
    <w:rsid w:val="000A1CC2"/>
    <w:rPr>
      <w:rFonts w:ascii="Gautami" w:eastAsia="Times New Roman" w:hAnsi="Gautami" w:cs="Times New Roman"/>
      <w:i/>
      <w:sz w:val="20"/>
      <w:szCs w:val="26"/>
    </w:rPr>
  </w:style>
  <w:style w:type="character" w:customStyle="1" w:styleId="Heading7Char">
    <w:name w:val="Heading 7 Char"/>
    <w:basedOn w:val="DefaultParagraphFont"/>
    <w:link w:val="Heading7"/>
    <w:uiPriority w:val="9"/>
    <w:rsid w:val="00303452"/>
    <w:rPr>
      <w:rFonts w:ascii="Gautami" w:eastAsia="Times New Roman" w:hAnsi="Gautami" w:cs="Times New Roman"/>
      <w:b/>
      <w:bCs/>
      <w:iCs/>
      <w:color w:val="E36C0A"/>
      <w:sz w:val="36"/>
      <w:szCs w:val="24"/>
    </w:rPr>
  </w:style>
  <w:style w:type="character" w:customStyle="1" w:styleId="Heading8Char">
    <w:name w:val="Heading 8 Char"/>
    <w:basedOn w:val="DefaultParagraphFont"/>
    <w:link w:val="Heading8"/>
    <w:uiPriority w:val="9"/>
    <w:rsid w:val="00303452"/>
    <w:rPr>
      <w:rFonts w:ascii="Gautami" w:eastAsia="Times New Roman" w:hAnsi="Gautami" w:cs="Times New Roman"/>
      <w:b/>
      <w:bCs/>
      <w:iCs/>
      <w:color w:val="E36C0A"/>
      <w:sz w:val="28"/>
      <w:szCs w:val="20"/>
    </w:rPr>
  </w:style>
  <w:style w:type="character" w:customStyle="1" w:styleId="Heading9Char">
    <w:name w:val="Heading 9 Char"/>
    <w:basedOn w:val="DefaultParagraphFont"/>
    <w:link w:val="Heading9"/>
    <w:uiPriority w:val="9"/>
    <w:rsid w:val="00303452"/>
    <w:rPr>
      <w:rFonts w:ascii="Gautami" w:eastAsia="Times New Roman" w:hAnsi="Gautami" w:cs="Times New Roman"/>
      <w:b/>
      <w:bCs/>
      <w:color w:val="E36C0A"/>
      <w:sz w:val="24"/>
      <w:szCs w:val="20"/>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qFormat/>
    <w:rsid w:val="000E1A25"/>
    <w:pPr>
      <w:numPr>
        <w:numId w:val="42"/>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7"/>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11"/>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8"/>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9"/>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basedOn w:val="AERbodytext"/>
    <w:link w:val="FootnoteTextChar"/>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basedOn w:val="DefaultParagraphFont"/>
    <w:semiHidden/>
    <w:unhideWhenUsed/>
    <w:rsid w:val="003800E4"/>
    <w:rPr>
      <w:vertAlign w:val="superscript"/>
    </w:rPr>
  </w:style>
  <w:style w:type="paragraph" w:styleId="Header">
    <w:name w:val="header"/>
    <w:basedOn w:val="Normal"/>
    <w:link w:val="HeaderChar"/>
    <w:uiPriority w:val="99"/>
    <w:semiHidden/>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69004B"/>
    <w:pPr>
      <w:numPr>
        <w:ilvl w:val="0"/>
      </w:numPr>
    </w:pPr>
  </w:style>
  <w:style w:type="table" w:styleId="TableGrid">
    <w:name w:val="Table Grid"/>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0E1A25"/>
    <w:pPr>
      <w:numPr>
        <w:numId w:val="13"/>
      </w:numPr>
    </w:pPr>
  </w:style>
  <w:style w:type="numbering" w:customStyle="1" w:styleId="OldAERheadings">
    <w:name w:val="Old AER headings"/>
    <w:uiPriority w:val="99"/>
    <w:locked/>
    <w:rsid w:val="008515EE"/>
    <w:pPr>
      <w:numPr>
        <w:numId w:val="24"/>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semiHidden/>
    <w:unhideWhenUsed/>
    <w:qFormat/>
    <w:locked/>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0A5342"/>
    <w:rPr>
      <w:b/>
      <w:bC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semiHidden/>
    <w:unhideWhenUsed/>
    <w:qFormat/>
    <w:locked/>
    <w:rsid w:val="00AF3E95"/>
    <w:pPr>
      <w:pageBreakBefore w:val="0"/>
      <w:numPr>
        <w:ilvl w:val="0"/>
        <w:numId w:val="0"/>
      </w:numPr>
      <w:spacing w:before="480" w:after="0" w:line="276" w:lineRule="auto"/>
      <w:jc w:val="left"/>
      <w:outlineLvl w:val="9"/>
    </w:pPr>
    <w:rPr>
      <w:rFonts w:ascii="Cambria" w:hAnsi="Cambria"/>
      <w:color w:val="365F91"/>
      <w:sz w:val="28"/>
      <w:lang w:val="en-US"/>
    </w:rPr>
  </w:style>
  <w:style w:type="paragraph" w:styleId="TOC1">
    <w:name w:val="toc 1"/>
    <w:basedOn w:val="Normal"/>
    <w:next w:val="Normal"/>
    <w:autoRedefine/>
    <w:uiPriority w:val="39"/>
    <w:unhideWhenUsed/>
    <w:qFormat/>
    <w:rsid w:val="003E107E"/>
    <w:pPr>
      <w:tabs>
        <w:tab w:val="right" w:leader="dot" w:pos="9016"/>
      </w:tabs>
      <w:spacing w:before="240" w:after="120"/>
      <w:jc w:val="left"/>
    </w:pPr>
    <w:rPr>
      <w:b/>
      <w:bCs/>
      <w:noProof/>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rsid w:val="00AF3E95"/>
    <w:rPr>
      <w:color w:val="0000FF"/>
      <w:u w:val="single"/>
    </w:rPr>
  </w:style>
  <w:style w:type="paragraph" w:styleId="BalloonText">
    <w:name w:val="Balloon Text"/>
    <w:basedOn w:val="Normal"/>
    <w:link w:val="BalloonTextChar"/>
    <w:uiPriority w:val="99"/>
    <w:semiHidden/>
    <w:unhideWhenUsed/>
    <w:lock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locked/>
    <w:rsid w:val="00BE6F28"/>
    <w:rPr>
      <w:sz w:val="16"/>
      <w:szCs w:val="16"/>
    </w:rPr>
  </w:style>
  <w:style w:type="paragraph" w:styleId="CommentText">
    <w:name w:val="annotation text"/>
    <w:basedOn w:val="Normal"/>
    <w:link w:val="CommentTextChar"/>
    <w:uiPriority w:val="99"/>
    <w:semiHidden/>
    <w:unhideWhenUsed/>
    <w:lock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lock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s>
</file>

<file path=word/webSettings.xml><?xml version="1.0" encoding="utf-8"?>
<w:webSettings xmlns:r="http://schemas.openxmlformats.org/officeDocument/2006/relationships" xmlns:w="http://schemas.openxmlformats.org/wordprocessingml/2006/main">
  <w:divs>
    <w:div w:id="99321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ERInquiry@aer.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6B48E-5E1D-4DA2-A687-2DD071EC9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1498</Words>
  <Characters>8544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10022</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Determination - Advanced metering infrastructure 2013 revised charges - October 2012</dc:title>
  <dc:subject>AER Determination</dc:subject>
  <dc:creator>AER</dc:creator>
  <cp:keywords/>
  <cp:lastModifiedBy>tpits</cp:lastModifiedBy>
  <cp:revision>5</cp:revision>
  <cp:lastPrinted>2012-05-03T01:13:00Z</cp:lastPrinted>
  <dcterms:created xsi:type="dcterms:W3CDTF">2012-11-22T21:21:00Z</dcterms:created>
  <dcterms:modified xsi:type="dcterms:W3CDTF">2012-11-22T21:26:00Z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H:\TRIMDATA\TRIM\TEMP\CONTEXT.5948\D12 162863  AER Determination - Advanced Metering Infrastructure 2013 revised charges - 31 October 2012.DOC</vt:lpwstr>
  </property>
</Properties>
</file>